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AD83E1C" w14:textId="77777777" w:rsidR="005F5363" w:rsidRDefault="00BB18B7" w:rsidP="00FB492E">
      <w:pPr>
        <w:spacing w:after="120"/>
        <w:jc w:val="center"/>
        <w:rPr>
          <w:rFonts w:ascii="Arial" w:eastAsia="CMBX12" w:hAnsi="Arial" w:cs="CMBX12"/>
          <w:b/>
          <w:bCs/>
          <w:sz w:val="26"/>
          <w:szCs w:val="26"/>
        </w:rPr>
      </w:pPr>
      <w:r>
        <w:rPr>
          <w:rFonts w:ascii="Arial" w:eastAsia="CMBX12" w:hAnsi="Arial" w:cs="CMBX12"/>
          <w:b/>
          <w:bCs/>
          <w:sz w:val="26"/>
          <w:szCs w:val="26"/>
        </w:rPr>
        <w:t>Statistische Methodik zur Wählerwanderungsanalyse der Stadt München</w:t>
      </w:r>
    </w:p>
    <w:p w14:paraId="64D3A50A" w14:textId="77777777" w:rsidR="005F5363" w:rsidRPr="005B6744" w:rsidRDefault="00BB18B7" w:rsidP="00F90970">
      <w:pPr>
        <w:spacing w:after="120"/>
        <w:jc w:val="center"/>
        <w:rPr>
          <w:rFonts w:ascii="Arial" w:eastAsia="CMBX12" w:hAnsi="Arial" w:cs="CMBX12"/>
          <w:sz w:val="23"/>
          <w:szCs w:val="23"/>
        </w:rPr>
      </w:pPr>
      <w:r w:rsidRPr="005B6744">
        <w:rPr>
          <w:rFonts w:ascii="Arial" w:eastAsia="CMBX12" w:hAnsi="Arial" w:cs="CMBX12"/>
          <w:sz w:val="23"/>
          <w:szCs w:val="23"/>
        </w:rPr>
        <w:t>Andr</w:t>
      </w:r>
      <w:r w:rsidRPr="005B6744">
        <w:rPr>
          <w:rFonts w:ascii="Arial" w:hAnsi="Arial"/>
          <w:sz w:val="23"/>
          <w:szCs w:val="23"/>
        </w:rPr>
        <w:t>é</w:t>
      </w:r>
      <w:r w:rsidRPr="005B6744">
        <w:rPr>
          <w:rFonts w:ascii="Arial" w:eastAsia="CMBX12" w:hAnsi="Arial" w:cs="CMBX12"/>
          <w:sz w:val="23"/>
          <w:szCs w:val="23"/>
        </w:rPr>
        <w:t xml:space="preserve"> Klima, Thomas Schlesinger, Paul W. Thurner und Helmut Küchenhoff</w:t>
      </w:r>
    </w:p>
    <w:p w14:paraId="266F6DEA" w14:textId="77777777" w:rsidR="005F5363" w:rsidRPr="005B6744" w:rsidRDefault="00BB18B7" w:rsidP="00FB492E">
      <w:pPr>
        <w:spacing w:after="6"/>
        <w:jc w:val="center"/>
        <w:rPr>
          <w:rFonts w:ascii="Arial" w:eastAsia="CMBX12" w:hAnsi="Arial" w:cs="CMBX12"/>
          <w:sz w:val="23"/>
          <w:szCs w:val="23"/>
        </w:rPr>
      </w:pPr>
      <w:r w:rsidRPr="005B6744">
        <w:rPr>
          <w:rFonts w:ascii="Arial" w:eastAsia="CMBX12" w:hAnsi="Arial" w:cs="CMBX12"/>
          <w:sz w:val="23"/>
          <w:szCs w:val="23"/>
        </w:rPr>
        <w:t>Statistisches Beratungslabor und Geschwister Scholl Institut</w:t>
      </w:r>
    </w:p>
    <w:p w14:paraId="1BD87876" w14:textId="77777777" w:rsidR="005F5363" w:rsidRPr="005B6744" w:rsidRDefault="00BB18B7">
      <w:pPr>
        <w:spacing w:after="6" w:line="276" w:lineRule="auto"/>
        <w:jc w:val="center"/>
        <w:rPr>
          <w:rFonts w:ascii="Arial" w:eastAsia="CMBX12" w:hAnsi="Arial" w:cs="CMBX12"/>
          <w:sz w:val="23"/>
          <w:szCs w:val="23"/>
        </w:rPr>
      </w:pPr>
      <w:r w:rsidRPr="005B6744">
        <w:rPr>
          <w:rFonts w:ascii="Arial" w:eastAsia="CMBX12" w:hAnsi="Arial" w:cs="CMBX12"/>
          <w:sz w:val="23"/>
          <w:szCs w:val="23"/>
        </w:rPr>
        <w:t>für Politische Wissenschaft der LMU München</w:t>
      </w:r>
    </w:p>
    <w:p w14:paraId="5A920129" w14:textId="77777777" w:rsidR="005F5363" w:rsidRDefault="00BB18B7" w:rsidP="004017AA">
      <w:pPr>
        <w:spacing w:before="120" w:after="120" w:line="276" w:lineRule="auto"/>
        <w:jc w:val="both"/>
        <w:rPr>
          <w:rFonts w:ascii="Arial" w:eastAsia="CMBX12" w:hAnsi="Arial" w:cs="CMBX12"/>
          <w:b/>
          <w:bCs/>
          <w:sz w:val="20"/>
          <w:szCs w:val="20"/>
          <w:u w:val="single"/>
        </w:rPr>
      </w:pPr>
      <w:r>
        <w:rPr>
          <w:rFonts w:ascii="Arial" w:eastAsia="CMBX12" w:hAnsi="Arial" w:cs="CMBX12"/>
          <w:b/>
          <w:bCs/>
          <w:sz w:val="20"/>
          <w:szCs w:val="20"/>
          <w:u w:val="single"/>
        </w:rPr>
        <w:t>1. Einführung</w:t>
      </w:r>
    </w:p>
    <w:p w14:paraId="2E4367E0" w14:textId="77777777" w:rsidR="005F5363" w:rsidRDefault="00BB18B7" w:rsidP="004017AA">
      <w:pPr>
        <w:autoSpaceDE w:val="0"/>
        <w:spacing w:after="240" w:line="276" w:lineRule="auto"/>
        <w:jc w:val="both"/>
        <w:rPr>
          <w:rFonts w:ascii="Arial" w:eastAsia="CMR10" w:hAnsi="Arial" w:cs="CMR10"/>
          <w:sz w:val="20"/>
          <w:szCs w:val="20"/>
        </w:rPr>
      </w:pPr>
      <w:r>
        <w:rPr>
          <w:rFonts w:ascii="Arial" w:eastAsia="CMR10" w:hAnsi="Arial" w:cs="CMR10"/>
          <w:sz w:val="20"/>
          <w:szCs w:val="20"/>
        </w:rPr>
        <w:t>Für die Wählerwanderungsanalyse der Stadt München wurde vom Statistischen Beratungslabor der LMU eine Studie zur statistischen Methodik durchgeführt. Ziel war es, gebräuchliche Verfahren zu evaluieren und eine klare und transparente, wissenschaftlich abgesicherte, nachvollziehbare Strategie zur Schätzung der Wählerwanderung in der Praxis zu finden. Die wesentlichen Ergebnisse der Studie und das Vorgehen sind im Folgenden kurz beschrieben. In Abschnitt 2 wird die Problemstellung dargestellt. In Abschnitt 3 finden sich die zentralen Ergebnisse zum Methodenvergleich, in Abschnitt 4 werden Details zu dem von uns verwendeten Verfahren gegeben.</w:t>
      </w:r>
    </w:p>
    <w:p w14:paraId="6AF4B804" w14:textId="77777777" w:rsidR="005F5363" w:rsidRDefault="00BB18B7">
      <w:pPr>
        <w:autoSpaceDE w:val="0"/>
        <w:spacing w:after="120" w:line="276" w:lineRule="auto"/>
        <w:jc w:val="both"/>
        <w:rPr>
          <w:rFonts w:ascii="Arial" w:eastAsia="CMBX12" w:hAnsi="Arial" w:cs="CMBX12"/>
          <w:b/>
          <w:bCs/>
          <w:sz w:val="20"/>
          <w:szCs w:val="20"/>
          <w:u w:val="single"/>
        </w:rPr>
      </w:pPr>
      <w:r>
        <w:rPr>
          <w:rFonts w:ascii="Arial" w:eastAsia="CMBX12" w:hAnsi="Arial" w:cs="CMBX12"/>
          <w:b/>
          <w:bCs/>
          <w:sz w:val="20"/>
          <w:szCs w:val="20"/>
          <w:u w:val="single"/>
        </w:rPr>
        <w:t>2. Problemstellung und Datengrundlage</w:t>
      </w:r>
    </w:p>
    <w:p w14:paraId="494461C5" w14:textId="77777777" w:rsidR="005F5363" w:rsidRDefault="00BB18B7">
      <w:pPr>
        <w:autoSpaceDE w:val="0"/>
        <w:spacing w:after="120" w:line="276" w:lineRule="auto"/>
        <w:jc w:val="both"/>
        <w:rPr>
          <w:rFonts w:ascii="Arial" w:eastAsia="CMR10" w:hAnsi="Arial" w:cs="CMR10"/>
          <w:sz w:val="20"/>
          <w:szCs w:val="20"/>
        </w:rPr>
      </w:pPr>
      <w:r>
        <w:rPr>
          <w:rFonts w:ascii="Arial" w:eastAsia="CMR10" w:hAnsi="Arial" w:cs="CMR10"/>
          <w:sz w:val="20"/>
          <w:szCs w:val="20"/>
        </w:rPr>
        <w:t xml:space="preserve">Da Befragungen am Wahltag, wie sie von verschiedenen Umfrageinstituten durchgeführt werden, aufwändig sind, wurden im Folgenden zunächst nur Strategien berücksichtigt, die als Datengrundlage die Wahlergebnisse der einzelnen </w:t>
      </w:r>
      <w:r w:rsidR="0080653C">
        <w:rPr>
          <w:rFonts w:ascii="Arial" w:eastAsia="CMR10" w:hAnsi="Arial" w:cs="CMR10"/>
          <w:sz w:val="20"/>
          <w:szCs w:val="20"/>
        </w:rPr>
        <w:t>Wahl</w:t>
      </w:r>
      <w:r w:rsidR="00F212A7">
        <w:rPr>
          <w:rFonts w:ascii="Arial" w:eastAsia="CMR10" w:hAnsi="Arial" w:cs="CMR10"/>
          <w:sz w:val="20"/>
          <w:szCs w:val="20"/>
        </w:rPr>
        <w:t>bezirk</w:t>
      </w:r>
      <w:r w:rsidR="00547103">
        <w:rPr>
          <w:rFonts w:ascii="Arial" w:eastAsia="CMR10" w:hAnsi="Arial" w:cs="CMR10"/>
          <w:sz w:val="20"/>
          <w:szCs w:val="20"/>
        </w:rPr>
        <w:t xml:space="preserve">e </w:t>
      </w:r>
      <w:r>
        <w:rPr>
          <w:rFonts w:ascii="Arial" w:eastAsia="CMR10" w:hAnsi="Arial" w:cs="CMR10"/>
          <w:sz w:val="20"/>
          <w:szCs w:val="20"/>
        </w:rPr>
        <w:t>verwenden.</w:t>
      </w:r>
    </w:p>
    <w:p w14:paraId="5F67A732" w14:textId="6F9DF7A5" w:rsidR="005F5363" w:rsidRDefault="00BB18B7">
      <w:pPr>
        <w:autoSpaceDE w:val="0"/>
        <w:spacing w:after="120" w:line="276" w:lineRule="auto"/>
        <w:jc w:val="both"/>
        <w:rPr>
          <w:rFonts w:ascii="Arial" w:eastAsia="CMR10" w:hAnsi="Arial" w:cs="CMR10"/>
          <w:sz w:val="20"/>
          <w:szCs w:val="20"/>
        </w:rPr>
      </w:pPr>
      <w:r>
        <w:rPr>
          <w:rFonts w:ascii="Arial" w:eastAsia="CMR10" w:hAnsi="Arial" w:cs="CMR10"/>
          <w:sz w:val="20"/>
          <w:szCs w:val="20"/>
        </w:rPr>
        <w:t xml:space="preserve">Das Problem bei der Abschätzung der Wählerwanderung besteht dann darin, dass nur die Aggregatergebnisse der beiden Wahlen bekannt sind. Wenn die Partei A beispielsweise 100 000 Stimmen bei der Wahl </w:t>
      </w:r>
      <w:r w:rsidR="00F975F5">
        <w:rPr>
          <w:rFonts w:ascii="Arial" w:eastAsia="CMR10" w:hAnsi="Arial" w:cs="CMR10"/>
          <w:sz w:val="20"/>
          <w:szCs w:val="20"/>
        </w:rPr>
        <w:t>2019</w:t>
      </w:r>
      <w:r>
        <w:rPr>
          <w:rFonts w:ascii="Arial" w:eastAsia="CMR10" w:hAnsi="Arial" w:cs="CMR10"/>
          <w:sz w:val="20"/>
          <w:szCs w:val="20"/>
        </w:rPr>
        <w:t xml:space="preserve"> und 130 000 der Stimmen bei der Wahl </w:t>
      </w:r>
      <w:r w:rsidR="00F975F5">
        <w:rPr>
          <w:rFonts w:ascii="Arial" w:eastAsia="CMR10" w:hAnsi="Arial" w:cs="CMR10"/>
          <w:sz w:val="20"/>
          <w:szCs w:val="20"/>
        </w:rPr>
        <w:t>2024</w:t>
      </w:r>
      <w:r>
        <w:rPr>
          <w:rFonts w:ascii="Arial" w:eastAsia="CMR10" w:hAnsi="Arial" w:cs="CMR10"/>
          <w:sz w:val="20"/>
          <w:szCs w:val="20"/>
        </w:rPr>
        <w:t xml:space="preserve"> bekommen hat, so kann man daraus nicht direkt ableiten, wie sich die individuellen Wähler</w:t>
      </w:r>
      <w:r w:rsidR="006F478E">
        <w:rPr>
          <w:rFonts w:ascii="Arial" w:eastAsia="CMR10" w:hAnsi="Arial" w:cs="CMR10"/>
          <w:sz w:val="20"/>
          <w:szCs w:val="20"/>
        </w:rPr>
        <w:t>*innen</w:t>
      </w:r>
      <w:r>
        <w:rPr>
          <w:rFonts w:ascii="Arial" w:eastAsia="CMR10" w:hAnsi="Arial" w:cs="CMR10"/>
          <w:sz w:val="20"/>
          <w:szCs w:val="20"/>
        </w:rPr>
        <w:t xml:space="preserve"> verhalten haben. Ein (unwahrscheinlicher) Extremfall wäre, dass alle 130 000 Wähler</w:t>
      </w:r>
      <w:r w:rsidR="006F478E">
        <w:rPr>
          <w:rFonts w:ascii="Arial" w:eastAsia="CMR10" w:hAnsi="Arial" w:cs="CMR10"/>
          <w:sz w:val="20"/>
          <w:szCs w:val="20"/>
        </w:rPr>
        <w:t>*innen</w:t>
      </w:r>
      <w:r>
        <w:rPr>
          <w:rFonts w:ascii="Arial" w:eastAsia="CMR10" w:hAnsi="Arial" w:cs="CMR10"/>
          <w:sz w:val="20"/>
          <w:szCs w:val="20"/>
        </w:rPr>
        <w:t xml:space="preserve"> </w:t>
      </w:r>
      <w:r w:rsidR="00F975F5">
        <w:rPr>
          <w:rFonts w:ascii="Arial" w:eastAsia="CMR10" w:hAnsi="Arial" w:cs="CMR10"/>
          <w:sz w:val="20"/>
          <w:szCs w:val="20"/>
        </w:rPr>
        <w:t>2019</w:t>
      </w:r>
      <w:r>
        <w:rPr>
          <w:rFonts w:ascii="Arial" w:eastAsia="CMR10" w:hAnsi="Arial" w:cs="CMR10"/>
          <w:sz w:val="20"/>
          <w:szCs w:val="20"/>
        </w:rPr>
        <w:t xml:space="preserve"> eine andere Partei gewählt hatten und dass die 100 000 früheren Wähler</w:t>
      </w:r>
      <w:r w:rsidR="006F478E">
        <w:rPr>
          <w:rFonts w:ascii="Arial" w:eastAsia="CMR10" w:hAnsi="Arial" w:cs="CMR10"/>
          <w:sz w:val="20"/>
          <w:szCs w:val="20"/>
        </w:rPr>
        <w:t>*innen</w:t>
      </w:r>
      <w:r>
        <w:rPr>
          <w:rFonts w:ascii="Arial" w:eastAsia="CMR10" w:hAnsi="Arial" w:cs="CMR10"/>
          <w:sz w:val="20"/>
          <w:szCs w:val="20"/>
        </w:rPr>
        <w:t xml:space="preserve"> zu einer anderen Partei gewechselt sind oder nicht gewählt haben. Ein anderer Extremfall wäre, dass alle 100 000 Wähler</w:t>
      </w:r>
      <w:r w:rsidR="006F478E">
        <w:rPr>
          <w:rFonts w:ascii="Arial" w:eastAsia="CMR10" w:hAnsi="Arial" w:cs="CMR10"/>
          <w:sz w:val="20"/>
          <w:szCs w:val="20"/>
        </w:rPr>
        <w:t>*innen</w:t>
      </w:r>
      <w:r>
        <w:rPr>
          <w:rFonts w:ascii="Arial" w:eastAsia="CMR10" w:hAnsi="Arial" w:cs="CMR10"/>
          <w:sz w:val="20"/>
          <w:szCs w:val="20"/>
        </w:rPr>
        <w:t xml:space="preserve"> aus dem Jahr </w:t>
      </w:r>
      <w:r w:rsidR="00F975F5">
        <w:rPr>
          <w:rFonts w:ascii="Arial" w:eastAsia="CMR10" w:hAnsi="Arial" w:cs="CMR10"/>
          <w:sz w:val="20"/>
          <w:szCs w:val="20"/>
        </w:rPr>
        <w:t>2019</w:t>
      </w:r>
      <w:r>
        <w:rPr>
          <w:rFonts w:ascii="Arial" w:eastAsia="CMR10" w:hAnsi="Arial" w:cs="CMR10"/>
          <w:sz w:val="20"/>
          <w:szCs w:val="20"/>
        </w:rPr>
        <w:t xml:space="preserve"> die Partei A erneut gewählt haben und dass noch 30 000 Wähler</w:t>
      </w:r>
      <w:r w:rsidR="006F478E">
        <w:rPr>
          <w:rFonts w:ascii="Arial" w:eastAsia="CMR10" w:hAnsi="Arial" w:cs="CMR10"/>
          <w:sz w:val="20"/>
          <w:szCs w:val="20"/>
        </w:rPr>
        <w:t>*innen</w:t>
      </w:r>
      <w:r>
        <w:rPr>
          <w:rFonts w:ascii="Arial" w:eastAsia="CMR10" w:hAnsi="Arial" w:cs="CMR10"/>
          <w:sz w:val="20"/>
          <w:szCs w:val="20"/>
        </w:rPr>
        <w:t xml:space="preserve"> von anderen Parteien und von den Nichtwähler</w:t>
      </w:r>
      <w:r w:rsidR="006F478E">
        <w:rPr>
          <w:rFonts w:ascii="Arial" w:eastAsia="CMR10" w:hAnsi="Arial" w:cs="CMR10"/>
          <w:sz w:val="20"/>
          <w:szCs w:val="20"/>
        </w:rPr>
        <w:t>*innen</w:t>
      </w:r>
      <w:r>
        <w:rPr>
          <w:rFonts w:ascii="Arial" w:eastAsia="CMR10" w:hAnsi="Arial" w:cs="CMR10"/>
          <w:sz w:val="20"/>
          <w:szCs w:val="20"/>
        </w:rPr>
        <w:t xml:space="preserve"> hinzugekommen sind.</w:t>
      </w:r>
    </w:p>
    <w:p w14:paraId="268600D5" w14:textId="77777777" w:rsidR="005F5363" w:rsidRDefault="00BB18B7" w:rsidP="004017AA">
      <w:pPr>
        <w:autoSpaceDE w:val="0"/>
        <w:spacing w:after="240" w:line="276" w:lineRule="auto"/>
        <w:jc w:val="both"/>
        <w:rPr>
          <w:rFonts w:ascii="Arial" w:eastAsia="CMR10" w:hAnsi="Arial" w:cs="CMR10"/>
          <w:sz w:val="20"/>
          <w:szCs w:val="20"/>
        </w:rPr>
      </w:pPr>
      <w:r>
        <w:rPr>
          <w:rFonts w:ascii="Arial" w:eastAsia="CMR10" w:hAnsi="Arial" w:cs="CMR10"/>
          <w:sz w:val="20"/>
          <w:szCs w:val="20"/>
        </w:rPr>
        <w:t xml:space="preserve">Trotz dieser Unbestimmtheit ist es möglich, Methoden zur Schätzung der Wählerwanderung auf der Basis von Aggregatergebnissen zu entwickeln. Die Grundidee besteht darin, die einzelnen Wahlergebnisse, die ja für alle </w:t>
      </w:r>
      <w:r w:rsidR="0080653C">
        <w:rPr>
          <w:rFonts w:ascii="Arial" w:eastAsia="CMR10" w:hAnsi="Arial" w:cs="CMR10"/>
          <w:sz w:val="20"/>
          <w:szCs w:val="20"/>
        </w:rPr>
        <w:t>Wahl</w:t>
      </w:r>
      <w:r w:rsidR="00F212A7">
        <w:rPr>
          <w:rFonts w:ascii="Arial" w:eastAsia="CMR10" w:hAnsi="Arial" w:cs="CMR10"/>
          <w:sz w:val="20"/>
          <w:szCs w:val="20"/>
        </w:rPr>
        <w:t>bezirk</w:t>
      </w:r>
      <w:r w:rsidR="00DD16B5">
        <w:rPr>
          <w:rFonts w:ascii="Arial" w:eastAsia="CMR10" w:hAnsi="Arial" w:cs="CMR10"/>
          <w:sz w:val="20"/>
          <w:szCs w:val="20"/>
        </w:rPr>
        <w:t>e</w:t>
      </w:r>
      <w:r>
        <w:rPr>
          <w:rFonts w:ascii="Arial" w:eastAsia="CMR10" w:hAnsi="Arial" w:cs="CMR10"/>
          <w:sz w:val="20"/>
          <w:szCs w:val="20"/>
        </w:rPr>
        <w:t xml:space="preserve"> jeweils getrennt vorliegen, in geeigneter Weise zu verwenden. Man spricht in der Literatur dann allgemein von Ö</w:t>
      </w:r>
      <w:r>
        <w:rPr>
          <w:rFonts w:ascii="Arial" w:eastAsia="CMTI10" w:hAnsi="Arial" w:cs="CMTI10"/>
          <w:sz w:val="20"/>
          <w:szCs w:val="20"/>
        </w:rPr>
        <w:t>kologischer Inferenz</w:t>
      </w:r>
      <w:r>
        <w:rPr>
          <w:rFonts w:ascii="Arial" w:eastAsia="CMR10" w:hAnsi="Arial" w:cs="CMR10"/>
          <w:sz w:val="20"/>
          <w:szCs w:val="20"/>
        </w:rPr>
        <w:t xml:space="preserve">. Darunter versteht man solche Strategien, bei denen aus Daten höherer Ebene (hier die </w:t>
      </w:r>
      <w:r w:rsidR="0080653C">
        <w:rPr>
          <w:rFonts w:ascii="Arial" w:eastAsia="CMR10" w:hAnsi="Arial" w:cs="CMR10"/>
          <w:sz w:val="20"/>
          <w:szCs w:val="20"/>
        </w:rPr>
        <w:t>Wahl</w:t>
      </w:r>
      <w:r w:rsidR="00F212A7">
        <w:rPr>
          <w:rFonts w:ascii="Arial" w:eastAsia="CMR10" w:hAnsi="Arial" w:cs="CMR10"/>
          <w:sz w:val="20"/>
          <w:szCs w:val="20"/>
        </w:rPr>
        <w:t>bezirk</w:t>
      </w:r>
      <w:r w:rsidR="00547103">
        <w:rPr>
          <w:rFonts w:ascii="Arial" w:eastAsia="CMR10" w:hAnsi="Arial" w:cs="CMR10"/>
          <w:sz w:val="20"/>
          <w:szCs w:val="20"/>
        </w:rPr>
        <w:t>e</w:t>
      </w:r>
      <w:r>
        <w:rPr>
          <w:rFonts w:ascii="Arial" w:eastAsia="CMR10" w:hAnsi="Arial" w:cs="CMR10"/>
          <w:sz w:val="20"/>
          <w:szCs w:val="20"/>
        </w:rPr>
        <w:t xml:space="preserve">) auf individuelle Parameter (Wählerwanderung) geschlossen werden soll. Dabei ist es notwendig, dass die überprüften Methoden der speziellen Parteienlandschaft </w:t>
      </w:r>
      <w:r w:rsidR="00F212A7">
        <w:rPr>
          <w:rFonts w:ascii="Arial" w:eastAsia="CMR10" w:hAnsi="Arial" w:cs="CMR10"/>
          <w:sz w:val="20"/>
          <w:szCs w:val="20"/>
        </w:rPr>
        <w:t>München</w:t>
      </w:r>
      <w:r>
        <w:rPr>
          <w:rFonts w:ascii="Arial" w:eastAsia="CMR10" w:hAnsi="Arial" w:cs="CMR10"/>
          <w:sz w:val="20"/>
          <w:szCs w:val="20"/>
        </w:rPr>
        <w:t>s gerecht werden und Wählerwanderungen zwischen einer Vielzahl an Parteien geschätzt werden können. Dafür wurden in der wissenschaftlichen Literatur verschiedene Ansätze vorgeschlagen, die im Rahmen unsere Studie verglichen wurden.</w:t>
      </w:r>
    </w:p>
    <w:p w14:paraId="7DDAB2C8" w14:textId="77777777" w:rsidR="005F5363" w:rsidRDefault="00BB18B7">
      <w:pPr>
        <w:autoSpaceDE w:val="0"/>
        <w:spacing w:after="120" w:line="276" w:lineRule="auto"/>
        <w:jc w:val="both"/>
        <w:rPr>
          <w:rFonts w:ascii="Arial" w:eastAsia="CMBX12" w:hAnsi="Arial" w:cs="CMBX12"/>
          <w:b/>
          <w:bCs/>
          <w:sz w:val="20"/>
          <w:szCs w:val="20"/>
          <w:u w:val="single"/>
        </w:rPr>
      </w:pPr>
      <w:r>
        <w:rPr>
          <w:rFonts w:ascii="Arial" w:eastAsia="CMBX12" w:hAnsi="Arial" w:cs="CMBX12"/>
          <w:b/>
          <w:bCs/>
          <w:sz w:val="20"/>
          <w:szCs w:val="20"/>
          <w:u w:val="single"/>
        </w:rPr>
        <w:t>3. Methodenvergleich</w:t>
      </w:r>
    </w:p>
    <w:p w14:paraId="4A09A6D4" w14:textId="5B0C1353" w:rsidR="005F5363" w:rsidRDefault="00BB18B7">
      <w:pPr>
        <w:autoSpaceDE w:val="0"/>
        <w:spacing w:after="120" w:line="276" w:lineRule="auto"/>
        <w:jc w:val="both"/>
        <w:rPr>
          <w:rFonts w:ascii="Arial" w:eastAsia="CMR10" w:hAnsi="Arial" w:cs="CMR10"/>
          <w:sz w:val="20"/>
          <w:szCs w:val="20"/>
        </w:rPr>
      </w:pPr>
      <w:r>
        <w:rPr>
          <w:rFonts w:ascii="Arial" w:eastAsia="CMR10" w:hAnsi="Arial" w:cs="CMR10"/>
          <w:sz w:val="20"/>
          <w:szCs w:val="20"/>
        </w:rPr>
        <w:t xml:space="preserve">Alle Verfahren benötigen zusätzliche Annahmen, um eine Abschätzung durchführen zu können. Die einfachste, aber unrealistische Annahme ist, dass das Wählerwanderungsverhalten in allen </w:t>
      </w:r>
      <w:r w:rsidR="00767925">
        <w:rPr>
          <w:rFonts w:ascii="Arial" w:eastAsia="CMR10" w:hAnsi="Arial" w:cs="CMR10"/>
          <w:sz w:val="20"/>
          <w:szCs w:val="20"/>
        </w:rPr>
        <w:t>Wahlbez</w:t>
      </w:r>
      <w:r w:rsidR="00F212A7">
        <w:rPr>
          <w:rFonts w:ascii="Arial" w:eastAsia="CMR10" w:hAnsi="Arial" w:cs="CMR10"/>
          <w:sz w:val="20"/>
          <w:szCs w:val="20"/>
        </w:rPr>
        <w:t>irk</w:t>
      </w:r>
      <w:r w:rsidR="00547103">
        <w:rPr>
          <w:rFonts w:ascii="Arial" w:eastAsia="CMR10" w:hAnsi="Arial" w:cs="CMR10"/>
          <w:sz w:val="20"/>
          <w:szCs w:val="20"/>
        </w:rPr>
        <w:t xml:space="preserve">en </w:t>
      </w:r>
      <w:proofErr w:type="gramStart"/>
      <w:r>
        <w:rPr>
          <w:rFonts w:ascii="Arial" w:eastAsia="CMR10" w:hAnsi="Arial" w:cs="CMR10"/>
          <w:sz w:val="20"/>
          <w:szCs w:val="20"/>
        </w:rPr>
        <w:t>näherungsweise</w:t>
      </w:r>
      <w:proofErr w:type="gramEnd"/>
      <w:r>
        <w:rPr>
          <w:rFonts w:ascii="Arial" w:eastAsia="CMR10" w:hAnsi="Arial" w:cs="CMR10"/>
          <w:sz w:val="20"/>
          <w:szCs w:val="20"/>
        </w:rPr>
        <w:t xml:space="preserve"> gleich ist. Dies führt zu dem Verfahren der ökologischen Regression nach Goodman (1953). Ein weiterer älterer Ansatz ist der von Thomsen (1987). Dieser Ansatz ist komplexer und arbeitet mit einem Logit-Modell und der Gleichsetzung von Korrelationen auf Individualebene und auf Ebene der Gebietseinheiten. Zur Berechnung wurde von Thomsen eine entsprechende Software zur Verfügung gestellt.</w:t>
      </w:r>
    </w:p>
    <w:p w14:paraId="6F51FCBD" w14:textId="77777777" w:rsidR="005F5363" w:rsidRDefault="00BB18B7">
      <w:pPr>
        <w:autoSpaceDE w:val="0"/>
        <w:spacing w:after="120" w:line="276" w:lineRule="auto"/>
        <w:jc w:val="both"/>
        <w:rPr>
          <w:rFonts w:ascii="Arial" w:eastAsia="CMR10" w:hAnsi="Arial" w:cs="CMR10"/>
          <w:sz w:val="20"/>
          <w:szCs w:val="20"/>
        </w:rPr>
      </w:pPr>
      <w:r>
        <w:rPr>
          <w:rFonts w:ascii="Arial" w:eastAsia="CMR10" w:hAnsi="Arial" w:cs="CMR10"/>
          <w:sz w:val="20"/>
          <w:szCs w:val="20"/>
        </w:rPr>
        <w:t xml:space="preserve">Neuere Ansätze sind sog. Hierarchische </w:t>
      </w:r>
      <w:proofErr w:type="spellStart"/>
      <w:r>
        <w:rPr>
          <w:rFonts w:ascii="Arial" w:eastAsia="CMR10" w:hAnsi="Arial" w:cs="CMR10"/>
          <w:sz w:val="20"/>
          <w:szCs w:val="20"/>
        </w:rPr>
        <w:t>Bayesianische</w:t>
      </w:r>
      <w:proofErr w:type="spellEnd"/>
      <w:r>
        <w:rPr>
          <w:rFonts w:ascii="Arial" w:eastAsia="CMR10" w:hAnsi="Arial" w:cs="CMR10"/>
          <w:sz w:val="20"/>
          <w:szCs w:val="20"/>
        </w:rPr>
        <w:t xml:space="preserve"> Modelle. Diese sind in der Lage, mögliche Schwankungen in dem Wählerwanderungsverhalten zwischen den Bezirken in die Modellierung einzubeziehen. Ein Vorschlag aus dieser Modellgruppe ist das </w:t>
      </w:r>
      <w:proofErr w:type="spellStart"/>
      <w:r>
        <w:rPr>
          <w:rFonts w:ascii="Arial" w:eastAsia="CMR10" w:hAnsi="Arial" w:cs="CMR10"/>
          <w:sz w:val="20"/>
          <w:szCs w:val="20"/>
        </w:rPr>
        <w:t>Multinomial-Dirichlet</w:t>
      </w:r>
      <w:proofErr w:type="spellEnd"/>
      <w:r>
        <w:rPr>
          <w:rFonts w:ascii="Arial" w:eastAsia="CMR10" w:hAnsi="Arial" w:cs="CMR10"/>
          <w:sz w:val="20"/>
          <w:szCs w:val="20"/>
        </w:rPr>
        <w:t xml:space="preserve"> Modell von Rosen, Jiang, King and Tanner (2001). Zu dieser Strategie gibt es eine Software-Implementierung (</w:t>
      </w:r>
      <w:proofErr w:type="spellStart"/>
      <w:r>
        <w:rPr>
          <w:rFonts w:ascii="Arial" w:eastAsia="CMR10" w:hAnsi="Arial" w:cs="CMR10"/>
          <w:sz w:val="20"/>
          <w:szCs w:val="20"/>
        </w:rPr>
        <w:t>eiPack</w:t>
      </w:r>
      <w:proofErr w:type="spellEnd"/>
      <w:r>
        <w:rPr>
          <w:rFonts w:ascii="Arial" w:eastAsia="CMR10" w:hAnsi="Arial" w:cs="CMR10"/>
          <w:sz w:val="20"/>
          <w:szCs w:val="20"/>
        </w:rPr>
        <w:t>) in dem Programmpaket R (Lau, Moore, Kellermann 2007).</w:t>
      </w:r>
    </w:p>
    <w:p w14:paraId="3759C3D0" w14:textId="77777777" w:rsidR="005F5363" w:rsidRDefault="00BB18B7">
      <w:pPr>
        <w:autoSpaceDE w:val="0"/>
        <w:spacing w:after="120" w:line="276" w:lineRule="auto"/>
        <w:jc w:val="both"/>
        <w:rPr>
          <w:rFonts w:ascii="Arial" w:eastAsia="CMR10" w:hAnsi="Arial" w:cs="CMR10"/>
          <w:sz w:val="20"/>
          <w:szCs w:val="20"/>
        </w:rPr>
      </w:pPr>
      <w:r>
        <w:rPr>
          <w:rFonts w:ascii="Arial" w:eastAsia="CMR10" w:hAnsi="Arial" w:cs="CMR10"/>
          <w:sz w:val="20"/>
          <w:szCs w:val="20"/>
        </w:rPr>
        <w:t xml:space="preserve">Ein weiterer Vorschlag stammt von </w:t>
      </w:r>
      <w:proofErr w:type="spellStart"/>
      <w:r>
        <w:rPr>
          <w:rFonts w:ascii="Arial" w:eastAsia="CMR10" w:hAnsi="Arial" w:cs="CMR10"/>
          <w:sz w:val="20"/>
          <w:szCs w:val="20"/>
        </w:rPr>
        <w:t>Andreadis</w:t>
      </w:r>
      <w:proofErr w:type="spellEnd"/>
      <w:r>
        <w:rPr>
          <w:rFonts w:ascii="Arial" w:eastAsia="CMR10" w:hAnsi="Arial" w:cs="CMR10"/>
          <w:sz w:val="20"/>
          <w:szCs w:val="20"/>
        </w:rPr>
        <w:t xml:space="preserve"> und </w:t>
      </w:r>
      <w:proofErr w:type="spellStart"/>
      <w:r>
        <w:rPr>
          <w:rFonts w:ascii="Arial" w:eastAsia="CMR10" w:hAnsi="Arial" w:cs="CMR10"/>
          <w:sz w:val="20"/>
          <w:szCs w:val="20"/>
        </w:rPr>
        <w:t>Chadjipadelis</w:t>
      </w:r>
      <w:proofErr w:type="spellEnd"/>
      <w:r>
        <w:rPr>
          <w:rFonts w:ascii="Arial" w:eastAsia="CMR10" w:hAnsi="Arial" w:cs="CMR10"/>
          <w:sz w:val="20"/>
          <w:szCs w:val="20"/>
        </w:rPr>
        <w:t xml:space="preserve"> (2009), der von Kellermann (2011) modifiziert wurde. Dabei handelt es sich um iterative Algorithmen, die eine Anwendung von Methoden für den 2 x 2 Spezialfall der Ökologischen Inferenz ermöglichen. Die beiden iterativen Algorithmen unterscheiden sich leicht in der Reihenfolge bei der Durchführung der einzelnen Schritte.</w:t>
      </w:r>
    </w:p>
    <w:p w14:paraId="09B9E4CC" w14:textId="2C3C724B" w:rsidR="005F5363" w:rsidRDefault="00BB18B7" w:rsidP="004017AA">
      <w:pPr>
        <w:autoSpaceDE w:val="0"/>
        <w:spacing w:after="240" w:line="276" w:lineRule="auto"/>
        <w:jc w:val="both"/>
        <w:rPr>
          <w:rFonts w:ascii="Arial" w:eastAsia="CMR10" w:hAnsi="Arial" w:cs="CMR10"/>
          <w:sz w:val="20"/>
          <w:szCs w:val="20"/>
        </w:rPr>
      </w:pPr>
      <w:r>
        <w:rPr>
          <w:rFonts w:ascii="Arial" w:eastAsia="CMR10" w:hAnsi="Arial" w:cs="CMR10"/>
          <w:sz w:val="20"/>
          <w:szCs w:val="20"/>
        </w:rPr>
        <w:lastRenderedPageBreak/>
        <w:t xml:space="preserve">In einer ausführlichen Simulationsstudie wurden die verschiedenen Methoden verglichen. Es stellte sich dabei heraus, dass das </w:t>
      </w:r>
      <w:proofErr w:type="spellStart"/>
      <w:r>
        <w:rPr>
          <w:rFonts w:ascii="Arial" w:eastAsia="CMR10" w:hAnsi="Arial" w:cs="CMR10"/>
          <w:sz w:val="20"/>
          <w:szCs w:val="20"/>
        </w:rPr>
        <w:t>Multinomial-Dirichlet</w:t>
      </w:r>
      <w:proofErr w:type="spellEnd"/>
      <w:r>
        <w:rPr>
          <w:rFonts w:ascii="Arial" w:eastAsia="CMR10" w:hAnsi="Arial" w:cs="CMR10"/>
          <w:sz w:val="20"/>
          <w:szCs w:val="20"/>
        </w:rPr>
        <w:t xml:space="preserve"> Modell am besten abschnitt. Die durchschnittliche Abweichung (Fehlerquote) lag allerdings immer noch bei ca. 10 - 20%-Punkten, was wohl auf die Grundproblematik der Ökologischen Inferenz zurückzuführen ist. Ähnliche Ergebnisse ergaben sich auch bei einer Simulationsstudie von Wählerwanderungen im Saarland. Daher wurde das Verfahren nach dem </w:t>
      </w:r>
      <w:proofErr w:type="spellStart"/>
      <w:r>
        <w:rPr>
          <w:rFonts w:ascii="Arial" w:eastAsia="CMR10" w:hAnsi="Arial" w:cs="CMR10"/>
          <w:sz w:val="20"/>
          <w:szCs w:val="20"/>
        </w:rPr>
        <w:t>Multinomial-Dirichlet</w:t>
      </w:r>
      <w:proofErr w:type="spellEnd"/>
      <w:r>
        <w:rPr>
          <w:rFonts w:ascii="Arial" w:eastAsia="CMR10" w:hAnsi="Arial" w:cs="CMR10"/>
          <w:sz w:val="20"/>
          <w:szCs w:val="20"/>
        </w:rPr>
        <w:t xml:space="preserve"> Modell für die Schätzung der Wählerwanderung in München bei der </w:t>
      </w:r>
      <w:r w:rsidR="00F975F5">
        <w:rPr>
          <w:rFonts w:ascii="Arial" w:eastAsia="CMR10" w:hAnsi="Arial" w:cs="CMR10"/>
          <w:sz w:val="20"/>
          <w:szCs w:val="20"/>
        </w:rPr>
        <w:t>Europaw</w:t>
      </w:r>
      <w:r w:rsidR="0080653C">
        <w:rPr>
          <w:rFonts w:ascii="Arial" w:eastAsia="CMR10" w:hAnsi="Arial" w:cs="CMR10"/>
          <w:sz w:val="20"/>
          <w:szCs w:val="20"/>
        </w:rPr>
        <w:t xml:space="preserve">ahl </w:t>
      </w:r>
      <w:r w:rsidR="00F975F5">
        <w:rPr>
          <w:rFonts w:ascii="Arial" w:eastAsia="CMR10" w:hAnsi="Arial" w:cs="CMR10"/>
          <w:sz w:val="20"/>
          <w:szCs w:val="20"/>
        </w:rPr>
        <w:t>2024</w:t>
      </w:r>
      <w:r>
        <w:rPr>
          <w:rFonts w:ascii="Arial" w:eastAsia="CMR10" w:hAnsi="Arial" w:cs="CMR10"/>
          <w:sz w:val="20"/>
          <w:szCs w:val="20"/>
        </w:rPr>
        <w:t xml:space="preserve"> ausgewählt. Im folgenden Abschnitt werden einige Details dazu beschrieben.</w:t>
      </w:r>
    </w:p>
    <w:p w14:paraId="3B8B1E9B" w14:textId="77777777" w:rsidR="005F5363" w:rsidRDefault="00BB18B7">
      <w:pPr>
        <w:autoSpaceDE w:val="0"/>
        <w:spacing w:after="120" w:line="276" w:lineRule="auto"/>
        <w:jc w:val="both"/>
        <w:rPr>
          <w:rFonts w:ascii="Arial" w:eastAsia="CMBX12" w:hAnsi="Arial" w:cs="CMBX12"/>
          <w:b/>
          <w:bCs/>
          <w:sz w:val="20"/>
          <w:szCs w:val="20"/>
          <w:u w:val="single"/>
        </w:rPr>
      </w:pPr>
      <w:r>
        <w:rPr>
          <w:rFonts w:ascii="Arial" w:eastAsia="CMBX12" w:hAnsi="Arial" w:cs="CMBX12"/>
          <w:b/>
          <w:bCs/>
          <w:sz w:val="20"/>
          <w:szCs w:val="20"/>
          <w:u w:val="single"/>
        </w:rPr>
        <w:t>4. Die Berechnung der Wählerwanderung in München</w:t>
      </w:r>
    </w:p>
    <w:p w14:paraId="6321F87F" w14:textId="55C37B83" w:rsidR="00664981" w:rsidRDefault="00664981" w:rsidP="00664981">
      <w:pPr>
        <w:autoSpaceDE w:val="0"/>
        <w:spacing w:after="120" w:line="276" w:lineRule="auto"/>
        <w:jc w:val="both"/>
        <w:rPr>
          <w:rFonts w:ascii="Arial" w:eastAsia="CMR10" w:hAnsi="Arial" w:cs="CMR10"/>
          <w:sz w:val="20"/>
          <w:szCs w:val="20"/>
        </w:rPr>
      </w:pPr>
      <w:r>
        <w:rPr>
          <w:rFonts w:ascii="Arial" w:eastAsia="CMR10" w:hAnsi="Arial" w:cs="CMR10"/>
          <w:sz w:val="20"/>
          <w:szCs w:val="20"/>
        </w:rPr>
        <w:t xml:space="preserve">Zur Berechnung der Wählerwanderung mit aggregierten Daten müssen in einem ersten Schritt über die Zeit homogene Gebiete gebildet werden. Da es zu großen Veränderungen im Zuschnitt der </w:t>
      </w:r>
      <w:r w:rsidR="00767925">
        <w:rPr>
          <w:rFonts w:ascii="Arial" w:eastAsia="CMR10" w:hAnsi="Arial" w:cs="CMR10"/>
          <w:sz w:val="20"/>
          <w:szCs w:val="20"/>
        </w:rPr>
        <w:t>Wahlbez</w:t>
      </w:r>
      <w:r w:rsidR="00F212A7">
        <w:rPr>
          <w:rFonts w:ascii="Arial" w:eastAsia="CMR10" w:hAnsi="Arial" w:cs="CMR10"/>
          <w:sz w:val="20"/>
          <w:szCs w:val="20"/>
        </w:rPr>
        <w:t>irk</w:t>
      </w:r>
      <w:r>
        <w:rPr>
          <w:rFonts w:ascii="Arial" w:eastAsia="CMR10" w:hAnsi="Arial" w:cs="CMR10"/>
          <w:sz w:val="20"/>
          <w:szCs w:val="20"/>
        </w:rPr>
        <w:t xml:space="preserve">e gekommen ist, wurde statt größerer Anpassungen der verwendeten Gebietseinheiten das Ergebnis der Wahl </w:t>
      </w:r>
      <w:r w:rsidR="00F975F5">
        <w:rPr>
          <w:rFonts w:ascii="Arial" w:eastAsia="CMR10" w:hAnsi="Arial" w:cs="CMR10"/>
          <w:sz w:val="20"/>
          <w:szCs w:val="20"/>
        </w:rPr>
        <w:t>2019</w:t>
      </w:r>
      <w:r>
        <w:rPr>
          <w:rFonts w:ascii="Arial" w:eastAsia="CMR10" w:hAnsi="Arial" w:cs="CMR10"/>
          <w:sz w:val="20"/>
          <w:szCs w:val="20"/>
        </w:rPr>
        <w:t xml:space="preserve"> auf die Grenzen der Wahl </w:t>
      </w:r>
      <w:r w:rsidR="00F975F5">
        <w:rPr>
          <w:rFonts w:ascii="Arial" w:eastAsia="CMR10" w:hAnsi="Arial" w:cs="CMR10"/>
          <w:sz w:val="20"/>
          <w:szCs w:val="20"/>
        </w:rPr>
        <w:t>2024</w:t>
      </w:r>
      <w:r>
        <w:rPr>
          <w:rFonts w:ascii="Arial" w:eastAsia="CMR10" w:hAnsi="Arial" w:cs="CMR10"/>
          <w:sz w:val="20"/>
          <w:szCs w:val="20"/>
        </w:rPr>
        <w:t xml:space="preserve"> umgerechnet und als Input für die Wahl </w:t>
      </w:r>
      <w:r w:rsidR="00F975F5">
        <w:rPr>
          <w:rFonts w:ascii="Arial" w:eastAsia="CMR10" w:hAnsi="Arial" w:cs="CMR10"/>
          <w:sz w:val="20"/>
          <w:szCs w:val="20"/>
        </w:rPr>
        <w:t>2019</w:t>
      </w:r>
      <w:r>
        <w:rPr>
          <w:rFonts w:ascii="Arial" w:eastAsia="CMR10" w:hAnsi="Arial" w:cs="CMR10"/>
          <w:sz w:val="20"/>
          <w:szCs w:val="20"/>
        </w:rPr>
        <w:t xml:space="preserve"> benutzt. Insgesamt stehen somit al</w:t>
      </w:r>
      <w:r w:rsidRPr="005035B4">
        <w:rPr>
          <w:rFonts w:ascii="Arial" w:eastAsia="CMR10" w:hAnsi="Arial" w:cs="CMR10"/>
          <w:sz w:val="20"/>
          <w:szCs w:val="20"/>
        </w:rPr>
        <w:t xml:space="preserve">le </w:t>
      </w:r>
      <w:r w:rsidR="00767925">
        <w:rPr>
          <w:rFonts w:ascii="Arial" w:eastAsia="CMR10" w:hAnsi="Arial" w:cs="CMR10"/>
          <w:sz w:val="20"/>
          <w:szCs w:val="20"/>
        </w:rPr>
        <w:t>470</w:t>
      </w:r>
      <w:r w:rsidRPr="005035B4">
        <w:rPr>
          <w:rFonts w:ascii="Arial" w:eastAsia="CMR10" w:hAnsi="Arial" w:cs="CMR10"/>
          <w:sz w:val="20"/>
          <w:szCs w:val="20"/>
        </w:rPr>
        <w:t xml:space="preserve"> </w:t>
      </w:r>
      <w:r w:rsidR="00767925">
        <w:rPr>
          <w:rFonts w:ascii="Arial" w:eastAsia="CMR10" w:hAnsi="Arial" w:cs="CMR10"/>
          <w:sz w:val="20"/>
          <w:szCs w:val="20"/>
        </w:rPr>
        <w:t>Wahlbez</w:t>
      </w:r>
      <w:r w:rsidR="00F212A7">
        <w:rPr>
          <w:rFonts w:ascii="Arial" w:eastAsia="CMR10" w:hAnsi="Arial" w:cs="CMR10"/>
          <w:sz w:val="20"/>
          <w:szCs w:val="20"/>
        </w:rPr>
        <w:t>irk</w:t>
      </w:r>
      <w:r>
        <w:rPr>
          <w:rFonts w:ascii="Arial" w:eastAsia="CMR10" w:hAnsi="Arial" w:cs="CMR10"/>
          <w:sz w:val="20"/>
          <w:szCs w:val="20"/>
        </w:rPr>
        <w:t>e in München als Gebietseinheiten für die Berechnungen zur Verfügung.</w:t>
      </w:r>
    </w:p>
    <w:p w14:paraId="29471853" w14:textId="784AD433" w:rsidR="005F5363" w:rsidRPr="00455F23" w:rsidRDefault="00664981" w:rsidP="00664981">
      <w:pPr>
        <w:autoSpaceDE w:val="0"/>
        <w:spacing w:after="120" w:line="276" w:lineRule="auto"/>
        <w:jc w:val="both"/>
        <w:rPr>
          <w:rFonts w:ascii="Arial" w:eastAsia="CMR10" w:hAnsi="Arial" w:cs="CMR10"/>
          <w:color w:val="000000" w:themeColor="text1"/>
          <w:sz w:val="20"/>
          <w:szCs w:val="20"/>
        </w:rPr>
      </w:pPr>
      <w:r>
        <w:rPr>
          <w:rFonts w:ascii="Arial" w:eastAsia="CMR10" w:hAnsi="Arial" w:cs="CMR10"/>
          <w:sz w:val="20"/>
          <w:szCs w:val="20"/>
        </w:rPr>
        <w:t>Die Briefwähler</w:t>
      </w:r>
      <w:r w:rsidR="006F478E">
        <w:rPr>
          <w:rFonts w:ascii="Arial" w:eastAsia="CMR10" w:hAnsi="Arial" w:cs="CMR10"/>
          <w:sz w:val="20"/>
          <w:szCs w:val="20"/>
        </w:rPr>
        <w:t>*innen</w:t>
      </w:r>
      <w:r>
        <w:rPr>
          <w:rFonts w:ascii="Arial" w:eastAsia="CMR10" w:hAnsi="Arial" w:cs="CMR10"/>
          <w:sz w:val="20"/>
          <w:szCs w:val="20"/>
        </w:rPr>
        <w:t xml:space="preserve"> werden anteilig auf die entsprechenden </w:t>
      </w:r>
      <w:r w:rsidR="00767925">
        <w:rPr>
          <w:rFonts w:ascii="Arial" w:eastAsia="CMR10" w:hAnsi="Arial" w:cs="CMR10"/>
          <w:sz w:val="20"/>
          <w:szCs w:val="20"/>
        </w:rPr>
        <w:t>Wahlbez</w:t>
      </w:r>
      <w:r w:rsidR="00F212A7">
        <w:rPr>
          <w:rFonts w:ascii="Arial" w:eastAsia="CMR10" w:hAnsi="Arial" w:cs="CMR10"/>
          <w:sz w:val="20"/>
          <w:szCs w:val="20"/>
        </w:rPr>
        <w:t>irk</w:t>
      </w:r>
      <w:r>
        <w:rPr>
          <w:rFonts w:ascii="Arial" w:eastAsia="CMR10" w:hAnsi="Arial" w:cs="CMR10"/>
          <w:sz w:val="20"/>
          <w:szCs w:val="20"/>
        </w:rPr>
        <w:t xml:space="preserve">e </w:t>
      </w:r>
      <w:r w:rsidRPr="00455F23">
        <w:rPr>
          <w:rFonts w:ascii="Arial" w:eastAsia="CMR10" w:hAnsi="Arial" w:cs="CMR10"/>
          <w:color w:val="000000" w:themeColor="text1"/>
          <w:sz w:val="20"/>
          <w:szCs w:val="20"/>
        </w:rPr>
        <w:t xml:space="preserve">aufgeteilt. Dazu wird die Zuordnung der </w:t>
      </w:r>
      <w:r w:rsidR="0080653C">
        <w:rPr>
          <w:rFonts w:ascii="Arial" w:eastAsia="CMR10" w:hAnsi="Arial" w:cs="CMR10"/>
          <w:color w:val="000000" w:themeColor="text1"/>
          <w:sz w:val="20"/>
          <w:szCs w:val="20"/>
        </w:rPr>
        <w:t>Wahlb</w:t>
      </w:r>
      <w:r w:rsidR="00F212A7" w:rsidRPr="00455F23">
        <w:rPr>
          <w:rFonts w:ascii="Arial" w:eastAsia="CMR10" w:hAnsi="Arial" w:cs="CMR10"/>
          <w:color w:val="000000" w:themeColor="text1"/>
          <w:sz w:val="20"/>
          <w:szCs w:val="20"/>
        </w:rPr>
        <w:t>ezirk</w:t>
      </w:r>
      <w:r w:rsidRPr="00455F23">
        <w:rPr>
          <w:rFonts w:ascii="Arial" w:eastAsia="CMR10" w:hAnsi="Arial" w:cs="CMR10"/>
          <w:color w:val="000000" w:themeColor="text1"/>
          <w:sz w:val="20"/>
          <w:szCs w:val="20"/>
        </w:rPr>
        <w:t xml:space="preserve">e zu den </w:t>
      </w:r>
      <w:r w:rsidR="00DD16B5" w:rsidRPr="00455F23">
        <w:rPr>
          <w:rFonts w:ascii="Arial" w:eastAsia="CMR10" w:hAnsi="Arial" w:cs="CMR10"/>
          <w:color w:val="000000" w:themeColor="text1"/>
          <w:sz w:val="20"/>
          <w:szCs w:val="20"/>
        </w:rPr>
        <w:t>Brief</w:t>
      </w:r>
      <w:r w:rsidR="00F212A7" w:rsidRPr="00455F23">
        <w:rPr>
          <w:rFonts w:ascii="Arial" w:eastAsia="CMR10" w:hAnsi="Arial" w:cs="CMR10"/>
          <w:color w:val="000000" w:themeColor="text1"/>
          <w:sz w:val="20"/>
          <w:szCs w:val="20"/>
        </w:rPr>
        <w:t>wahlbezirk</w:t>
      </w:r>
      <w:r w:rsidRPr="00455F23">
        <w:rPr>
          <w:rFonts w:ascii="Arial" w:eastAsia="CMR10" w:hAnsi="Arial" w:cs="CMR10"/>
          <w:color w:val="000000" w:themeColor="text1"/>
          <w:sz w:val="20"/>
          <w:szCs w:val="20"/>
        </w:rPr>
        <w:t>en</w:t>
      </w:r>
      <w:r w:rsidR="006F478E">
        <w:rPr>
          <w:rFonts w:ascii="Arial" w:eastAsia="CMR10" w:hAnsi="Arial" w:cs="CMR10"/>
          <w:color w:val="000000" w:themeColor="text1"/>
          <w:sz w:val="20"/>
          <w:szCs w:val="20"/>
        </w:rPr>
        <w:t xml:space="preserve"> bzw. Teilstadtbezirken</w:t>
      </w:r>
      <w:r w:rsidRPr="00455F23">
        <w:rPr>
          <w:rFonts w:ascii="Arial" w:eastAsia="CMR10" w:hAnsi="Arial" w:cs="CMR10"/>
          <w:color w:val="000000" w:themeColor="text1"/>
          <w:sz w:val="20"/>
          <w:szCs w:val="20"/>
        </w:rPr>
        <w:t xml:space="preserve"> genutzt. Wenn vorhanden werden auch die Informationen zur Zahl der Wahlscheinbeantragungen bei der Verteilung genutzt. In der Simulationsstudie zeigte sich nämlich, dass bei Verteilung der Briefwähler</w:t>
      </w:r>
      <w:r w:rsidR="006F478E">
        <w:rPr>
          <w:rFonts w:ascii="Arial" w:eastAsia="CMR10" w:hAnsi="Arial" w:cs="CMR10"/>
          <w:color w:val="000000" w:themeColor="text1"/>
          <w:sz w:val="20"/>
          <w:szCs w:val="20"/>
        </w:rPr>
        <w:t>*innen</w:t>
      </w:r>
      <w:r w:rsidRPr="00455F23">
        <w:rPr>
          <w:rFonts w:ascii="Arial" w:eastAsia="CMR10" w:hAnsi="Arial" w:cs="CMR10"/>
          <w:color w:val="000000" w:themeColor="text1"/>
          <w:sz w:val="20"/>
          <w:szCs w:val="20"/>
        </w:rPr>
        <w:t xml:space="preserve"> bessere Ergebnisse erreicht werden können.</w:t>
      </w:r>
    </w:p>
    <w:p w14:paraId="277CE91E" w14:textId="457C298E" w:rsidR="00DE255C" w:rsidRDefault="00DE255C" w:rsidP="00DE255C">
      <w:pPr>
        <w:autoSpaceDE w:val="0"/>
        <w:spacing w:after="120" w:line="276" w:lineRule="auto"/>
        <w:jc w:val="both"/>
        <w:rPr>
          <w:rFonts w:ascii="Arial" w:eastAsia="CMR10" w:hAnsi="Arial" w:cs="CMR10"/>
          <w:sz w:val="20"/>
          <w:szCs w:val="20"/>
        </w:rPr>
      </w:pPr>
      <w:r w:rsidRPr="00DE255C">
        <w:rPr>
          <w:rFonts w:ascii="Arial" w:eastAsia="CMR10" w:hAnsi="Arial" w:cs="CMR10"/>
          <w:sz w:val="20"/>
          <w:szCs w:val="20"/>
        </w:rPr>
        <w:t xml:space="preserve">Veränderungen bei der Zahl der Wahlberechtigten in den </w:t>
      </w:r>
      <w:r w:rsidR="0080653C">
        <w:rPr>
          <w:rFonts w:ascii="Arial" w:eastAsia="CMR10" w:hAnsi="Arial" w:cs="CMR10"/>
          <w:sz w:val="20"/>
          <w:szCs w:val="20"/>
        </w:rPr>
        <w:t>Wahl</w:t>
      </w:r>
      <w:r w:rsidR="00F212A7">
        <w:rPr>
          <w:rFonts w:ascii="Arial" w:eastAsia="CMR10" w:hAnsi="Arial" w:cs="CMR10"/>
          <w:sz w:val="20"/>
          <w:szCs w:val="20"/>
        </w:rPr>
        <w:t>bezirk</w:t>
      </w:r>
      <w:r w:rsidRPr="00DE255C">
        <w:rPr>
          <w:rFonts w:ascii="Arial" w:eastAsia="CMR10" w:hAnsi="Arial" w:cs="CMR10"/>
          <w:sz w:val="20"/>
          <w:szCs w:val="20"/>
        </w:rPr>
        <w:t xml:space="preserve">en werden durch eine proportionale Anpassung der Wahlergebnisse ausgeglichen. Dies bedeutet im Detail, dass das Wahlergebnis in Prozent bei der </w:t>
      </w:r>
      <w:r w:rsidR="00F975F5">
        <w:rPr>
          <w:rFonts w:ascii="Arial" w:eastAsia="CMR10" w:hAnsi="Arial" w:cs="CMR10"/>
          <w:sz w:val="20"/>
          <w:szCs w:val="20"/>
        </w:rPr>
        <w:t>Europaw</w:t>
      </w:r>
      <w:r w:rsidR="0080653C">
        <w:rPr>
          <w:rFonts w:ascii="Arial" w:eastAsia="CMR10" w:hAnsi="Arial" w:cs="CMR10"/>
          <w:sz w:val="20"/>
          <w:szCs w:val="20"/>
        </w:rPr>
        <w:t xml:space="preserve">ahl </w:t>
      </w:r>
      <w:r w:rsidR="00F975F5">
        <w:rPr>
          <w:rFonts w:ascii="Arial" w:eastAsia="CMR10" w:hAnsi="Arial" w:cs="CMR10"/>
          <w:sz w:val="20"/>
          <w:szCs w:val="20"/>
        </w:rPr>
        <w:t>2019</w:t>
      </w:r>
      <w:r w:rsidRPr="00DE255C">
        <w:rPr>
          <w:rFonts w:ascii="Arial" w:eastAsia="CMR10" w:hAnsi="Arial" w:cs="CMR10"/>
          <w:sz w:val="20"/>
          <w:szCs w:val="20"/>
        </w:rPr>
        <w:t xml:space="preserve"> für jede Partei gewahrt wird, während die Zahl der Stimmen so angepasst wird, dass sie in der Summe der Zahl der Wahlberechtigten bei der </w:t>
      </w:r>
      <w:r w:rsidR="00F975F5">
        <w:rPr>
          <w:rFonts w:ascii="Arial" w:eastAsia="CMR10" w:hAnsi="Arial" w:cs="CMR10"/>
          <w:sz w:val="20"/>
          <w:szCs w:val="20"/>
        </w:rPr>
        <w:t>Europaw</w:t>
      </w:r>
      <w:r w:rsidR="0080653C">
        <w:rPr>
          <w:rFonts w:ascii="Arial" w:eastAsia="CMR10" w:hAnsi="Arial" w:cs="CMR10"/>
          <w:sz w:val="20"/>
          <w:szCs w:val="20"/>
        </w:rPr>
        <w:t xml:space="preserve">ahl </w:t>
      </w:r>
      <w:r w:rsidR="00F975F5">
        <w:rPr>
          <w:rFonts w:ascii="Arial" w:eastAsia="CMR10" w:hAnsi="Arial" w:cs="CMR10"/>
          <w:sz w:val="20"/>
          <w:szCs w:val="20"/>
        </w:rPr>
        <w:t>2024</w:t>
      </w:r>
      <w:r w:rsidRPr="00DE255C">
        <w:rPr>
          <w:rFonts w:ascii="Arial" w:eastAsia="CMR10" w:hAnsi="Arial" w:cs="CMR10"/>
          <w:sz w:val="20"/>
          <w:szCs w:val="20"/>
        </w:rPr>
        <w:t xml:space="preserve"> entspricht. Bei diesem Vorgehen wird impliziert, dass sich das Wahlverhalten durch die veränderte Zahl der Wahlberechtigten nicht strukturell geändert hat. Ein Nebeneffekt dieser Anpassung ist jedoch, dass die absoluten Stimmergebnisse für eine Partei nicht mehr mit dem Wahlergebnissen übereinstimmen müssen.</w:t>
      </w:r>
    </w:p>
    <w:p w14:paraId="7E07E9E1" w14:textId="64E9096A" w:rsidR="005F5363" w:rsidRDefault="00DE255C" w:rsidP="00DE255C">
      <w:pPr>
        <w:autoSpaceDE w:val="0"/>
        <w:spacing w:after="120" w:line="276" w:lineRule="auto"/>
        <w:jc w:val="both"/>
        <w:rPr>
          <w:rFonts w:ascii="Arial" w:eastAsia="CMR10" w:hAnsi="Arial" w:cs="CMR10"/>
          <w:sz w:val="20"/>
          <w:szCs w:val="20"/>
        </w:rPr>
      </w:pPr>
      <w:r w:rsidRPr="00DE255C">
        <w:rPr>
          <w:rFonts w:ascii="Arial" w:eastAsia="CMR10" w:hAnsi="Arial" w:cs="CMR10"/>
          <w:sz w:val="20"/>
          <w:szCs w:val="20"/>
        </w:rPr>
        <w:t>Ungültige Stimmen werden bei der Datenaufbereitung den Nichtwähler</w:t>
      </w:r>
      <w:r w:rsidR="006F478E">
        <w:rPr>
          <w:rFonts w:ascii="Arial" w:eastAsia="CMR10" w:hAnsi="Arial" w:cs="CMR10"/>
          <w:sz w:val="20"/>
          <w:szCs w:val="20"/>
        </w:rPr>
        <w:t>*innen</w:t>
      </w:r>
      <w:r w:rsidRPr="00DE255C">
        <w:rPr>
          <w:rFonts w:ascii="Arial" w:eastAsia="CMR10" w:hAnsi="Arial" w:cs="CMR10"/>
          <w:sz w:val="20"/>
          <w:szCs w:val="20"/>
        </w:rPr>
        <w:t xml:space="preserve"> zugeschlagen.</w:t>
      </w:r>
    </w:p>
    <w:p w14:paraId="10A44F9B" w14:textId="51A7E522" w:rsidR="005F5363" w:rsidRDefault="00BB18B7" w:rsidP="004017AA">
      <w:pPr>
        <w:autoSpaceDE w:val="0"/>
        <w:spacing w:after="240" w:line="276" w:lineRule="auto"/>
        <w:jc w:val="both"/>
        <w:rPr>
          <w:rFonts w:ascii="Arial" w:eastAsia="CMR10" w:hAnsi="Arial" w:cs="CMR10"/>
          <w:sz w:val="20"/>
          <w:szCs w:val="20"/>
        </w:rPr>
      </w:pPr>
      <w:r>
        <w:rPr>
          <w:rFonts w:ascii="Arial" w:eastAsia="CMR10" w:hAnsi="Arial" w:cs="CMR10"/>
          <w:sz w:val="20"/>
          <w:szCs w:val="20"/>
        </w:rPr>
        <w:t xml:space="preserve">Mit den so aufbereiteten Daten wird anschließend die Wählerwanderung mit dem </w:t>
      </w:r>
      <w:proofErr w:type="spellStart"/>
      <w:r>
        <w:rPr>
          <w:rFonts w:ascii="Arial" w:eastAsia="CMR10" w:hAnsi="Arial" w:cs="CMR10"/>
          <w:sz w:val="20"/>
          <w:szCs w:val="20"/>
        </w:rPr>
        <w:t>Multinomial-Dirichlet</w:t>
      </w:r>
      <w:proofErr w:type="spellEnd"/>
      <w:r>
        <w:rPr>
          <w:rFonts w:ascii="Arial" w:eastAsia="CMR10" w:hAnsi="Arial" w:cs="CMR10"/>
          <w:sz w:val="20"/>
          <w:szCs w:val="20"/>
        </w:rPr>
        <w:t xml:space="preserve"> Modell berechnet. Die Ergebnisse können als absolute Anzahlen, Anteile der Wähler</w:t>
      </w:r>
      <w:r w:rsidR="006F478E">
        <w:rPr>
          <w:rFonts w:ascii="Arial" w:eastAsia="CMR10" w:hAnsi="Arial" w:cs="CMR10"/>
          <w:sz w:val="20"/>
          <w:szCs w:val="20"/>
        </w:rPr>
        <w:t>*innen</w:t>
      </w:r>
      <w:r>
        <w:rPr>
          <w:rFonts w:ascii="Arial" w:eastAsia="CMR10" w:hAnsi="Arial" w:cs="CMR10"/>
          <w:sz w:val="20"/>
          <w:szCs w:val="20"/>
        </w:rPr>
        <w:t xml:space="preserve"> der ersten Wahl („Wohin sind die Wähler</w:t>
      </w:r>
      <w:r w:rsidR="006F478E">
        <w:rPr>
          <w:rFonts w:ascii="Arial" w:eastAsia="CMR10" w:hAnsi="Arial" w:cs="CMR10"/>
          <w:sz w:val="20"/>
          <w:szCs w:val="20"/>
        </w:rPr>
        <w:t>*innen</w:t>
      </w:r>
      <w:r>
        <w:rPr>
          <w:rFonts w:ascii="Arial" w:eastAsia="CMR10" w:hAnsi="Arial" w:cs="CMR10"/>
          <w:sz w:val="20"/>
          <w:szCs w:val="20"/>
        </w:rPr>
        <w:t xml:space="preserve"> gegangen?“) und als Anteile der Wähler</w:t>
      </w:r>
      <w:r w:rsidR="006F478E">
        <w:rPr>
          <w:rFonts w:ascii="Arial" w:eastAsia="CMR10" w:hAnsi="Arial" w:cs="CMR10"/>
          <w:sz w:val="20"/>
          <w:szCs w:val="20"/>
        </w:rPr>
        <w:t>*innen</w:t>
      </w:r>
      <w:r>
        <w:rPr>
          <w:rFonts w:ascii="Arial" w:eastAsia="CMR10" w:hAnsi="Arial" w:cs="CMR10"/>
          <w:sz w:val="20"/>
          <w:szCs w:val="20"/>
        </w:rPr>
        <w:t xml:space="preserve"> bei der zweiten Wahl („Woher kommen meine Wähler</w:t>
      </w:r>
      <w:r w:rsidR="006F478E">
        <w:rPr>
          <w:rFonts w:ascii="Arial" w:eastAsia="CMR10" w:hAnsi="Arial" w:cs="CMR10"/>
          <w:sz w:val="20"/>
          <w:szCs w:val="20"/>
        </w:rPr>
        <w:t>*innen</w:t>
      </w:r>
      <w:r>
        <w:rPr>
          <w:rFonts w:ascii="Arial" w:eastAsia="CMR10" w:hAnsi="Arial" w:cs="CMR10"/>
          <w:sz w:val="20"/>
          <w:szCs w:val="20"/>
        </w:rPr>
        <w:t>?“) dargestellt werden. Gebräuchlich ist auch die Darstellung der Wanderungssalden, bei der die gegenseitigen Wanderungsströme der Parteien aufgerechnet werden und nur die zahlenmäßigen Gewinne an Wähler</w:t>
      </w:r>
      <w:r w:rsidR="006F478E">
        <w:rPr>
          <w:rFonts w:ascii="Arial" w:eastAsia="CMR10" w:hAnsi="Arial" w:cs="CMR10"/>
          <w:sz w:val="20"/>
          <w:szCs w:val="20"/>
        </w:rPr>
        <w:t>*inne</w:t>
      </w:r>
      <w:r>
        <w:rPr>
          <w:rFonts w:ascii="Arial" w:eastAsia="CMR10" w:hAnsi="Arial" w:cs="CMR10"/>
          <w:sz w:val="20"/>
          <w:szCs w:val="20"/>
        </w:rPr>
        <w:t>n von einer Partei oder Verluste an eine Partei angegeben werden.</w:t>
      </w:r>
    </w:p>
    <w:p w14:paraId="0A8EB252" w14:textId="77777777" w:rsidR="00DE255C" w:rsidRDefault="00DE255C" w:rsidP="004017AA">
      <w:pPr>
        <w:autoSpaceDE w:val="0"/>
        <w:spacing w:after="240" w:line="276" w:lineRule="auto"/>
        <w:jc w:val="both"/>
        <w:rPr>
          <w:rFonts w:ascii="Arial" w:eastAsia="CMR10" w:hAnsi="Arial" w:cs="CMR10"/>
          <w:sz w:val="20"/>
          <w:szCs w:val="20"/>
        </w:rPr>
      </w:pPr>
    </w:p>
    <w:p w14:paraId="1F5BB26E" w14:textId="77777777" w:rsidR="005F5363" w:rsidRDefault="00BB18B7">
      <w:pPr>
        <w:autoSpaceDE w:val="0"/>
        <w:spacing w:after="120" w:line="276" w:lineRule="auto"/>
        <w:jc w:val="both"/>
        <w:rPr>
          <w:rFonts w:ascii="Arial" w:eastAsia="CMBX12" w:hAnsi="Arial" w:cs="CMBX12"/>
          <w:b/>
          <w:bCs/>
          <w:sz w:val="20"/>
          <w:szCs w:val="20"/>
          <w:lang w:val="en-GB"/>
        </w:rPr>
      </w:pPr>
      <w:proofErr w:type="spellStart"/>
      <w:r>
        <w:rPr>
          <w:rFonts w:ascii="Arial" w:eastAsia="CMBX12" w:hAnsi="Arial" w:cs="CMBX12"/>
          <w:b/>
          <w:bCs/>
          <w:sz w:val="20"/>
          <w:szCs w:val="20"/>
          <w:lang w:val="en-GB"/>
        </w:rPr>
        <w:t>Literatur</w:t>
      </w:r>
      <w:proofErr w:type="spellEnd"/>
    </w:p>
    <w:p w14:paraId="1BD8FA1C" w14:textId="77777777" w:rsidR="005F5363" w:rsidRDefault="00BB18B7">
      <w:pPr>
        <w:widowControl/>
        <w:autoSpaceDE w:val="0"/>
        <w:spacing w:after="120" w:line="276" w:lineRule="auto"/>
        <w:ind w:left="284" w:hanging="284"/>
        <w:jc w:val="both"/>
        <w:rPr>
          <w:rFonts w:ascii="Arial" w:eastAsia="CMR10" w:hAnsi="Arial" w:cs="CMR10"/>
          <w:sz w:val="18"/>
          <w:szCs w:val="18"/>
          <w:lang w:val="en-GB"/>
        </w:rPr>
      </w:pPr>
      <w:proofErr w:type="spellStart"/>
      <w:r>
        <w:rPr>
          <w:rFonts w:ascii="Arial" w:eastAsia="CMBX10" w:hAnsi="Arial" w:cs="CMBX10"/>
          <w:sz w:val="18"/>
          <w:szCs w:val="18"/>
          <w:lang w:val="en-GB"/>
        </w:rPr>
        <w:t>Andreadis</w:t>
      </w:r>
      <w:proofErr w:type="spellEnd"/>
      <w:r>
        <w:rPr>
          <w:rFonts w:ascii="Arial" w:eastAsia="CMBX10" w:hAnsi="Arial" w:cs="CMBX10"/>
          <w:sz w:val="18"/>
          <w:szCs w:val="18"/>
          <w:lang w:val="en-GB"/>
        </w:rPr>
        <w:t xml:space="preserve">, I., </w:t>
      </w:r>
      <w:proofErr w:type="spellStart"/>
      <w:r>
        <w:rPr>
          <w:rFonts w:ascii="Arial" w:eastAsia="CMBX10" w:hAnsi="Arial" w:cs="CMBX10"/>
          <w:sz w:val="18"/>
          <w:szCs w:val="18"/>
          <w:lang w:val="en-GB"/>
        </w:rPr>
        <w:t>Chadjipadelis</w:t>
      </w:r>
      <w:proofErr w:type="spellEnd"/>
      <w:r>
        <w:rPr>
          <w:rFonts w:ascii="Arial" w:eastAsia="CMBX10" w:hAnsi="Arial" w:cs="CMBX10"/>
          <w:sz w:val="18"/>
          <w:szCs w:val="18"/>
          <w:lang w:val="en-GB"/>
        </w:rPr>
        <w:t xml:space="preserve">, T. </w:t>
      </w:r>
      <w:r>
        <w:rPr>
          <w:rFonts w:ascii="Arial" w:eastAsia="CMR10" w:hAnsi="Arial" w:cs="CMR10"/>
          <w:sz w:val="18"/>
          <w:szCs w:val="18"/>
          <w:lang w:val="en-GB"/>
        </w:rPr>
        <w:t xml:space="preserve">(2009). A Method for the Estimation of Voter Transition Rates. </w:t>
      </w:r>
      <w:r>
        <w:rPr>
          <w:rFonts w:ascii="Arial" w:eastAsia="CMTI10" w:hAnsi="Arial" w:cs="CMTI10"/>
          <w:sz w:val="18"/>
          <w:szCs w:val="18"/>
          <w:lang w:val="en-GB"/>
        </w:rPr>
        <w:t>Journal of Elections, Public Opinion and Parties</w:t>
      </w:r>
      <w:r>
        <w:rPr>
          <w:rFonts w:ascii="Arial" w:eastAsia="CMR10" w:hAnsi="Arial" w:cs="CMR10"/>
          <w:sz w:val="18"/>
          <w:szCs w:val="18"/>
          <w:lang w:val="en-GB"/>
        </w:rPr>
        <w:t xml:space="preserve">, </w:t>
      </w:r>
      <w:r>
        <w:rPr>
          <w:rFonts w:ascii="Arial" w:eastAsia="CMBX10" w:hAnsi="Arial" w:cs="CMBX10"/>
          <w:sz w:val="18"/>
          <w:szCs w:val="18"/>
          <w:lang w:val="en-GB"/>
        </w:rPr>
        <w:t>19</w:t>
      </w:r>
      <w:r>
        <w:rPr>
          <w:rFonts w:ascii="Arial" w:eastAsia="CMR10" w:hAnsi="Arial" w:cs="CMR10"/>
          <w:sz w:val="18"/>
          <w:szCs w:val="18"/>
          <w:lang w:val="en-GB"/>
        </w:rPr>
        <w:t>, 203 </w:t>
      </w:r>
      <w:r>
        <w:rPr>
          <w:rFonts w:ascii="Arial" w:eastAsia="CMR10" w:hAnsi="Arial" w:cs="CMR10"/>
          <w:sz w:val="18"/>
          <w:szCs w:val="18"/>
          <w:lang w:val="en-GB"/>
        </w:rPr>
        <w:noBreakHyphen/>
        <w:t> 218.</w:t>
      </w:r>
    </w:p>
    <w:p w14:paraId="6DFFB6F9" w14:textId="77777777" w:rsidR="005F5363" w:rsidRDefault="00BB18B7">
      <w:pPr>
        <w:widowControl/>
        <w:autoSpaceDE w:val="0"/>
        <w:spacing w:after="120" w:line="276" w:lineRule="auto"/>
        <w:ind w:left="284" w:hanging="284"/>
        <w:jc w:val="both"/>
        <w:rPr>
          <w:rFonts w:ascii="Arial" w:eastAsia="CMR10" w:hAnsi="Arial" w:cs="CMR10"/>
          <w:sz w:val="18"/>
          <w:szCs w:val="18"/>
          <w:lang w:val="en-GB"/>
        </w:rPr>
      </w:pPr>
      <w:r>
        <w:rPr>
          <w:rFonts w:ascii="Arial" w:eastAsia="CMBX10" w:hAnsi="Arial" w:cs="CMBX10"/>
          <w:sz w:val="18"/>
          <w:szCs w:val="18"/>
          <w:lang w:val="en-GB"/>
        </w:rPr>
        <w:t xml:space="preserve">Goodman, L.G. </w:t>
      </w:r>
      <w:r>
        <w:rPr>
          <w:rFonts w:ascii="Arial" w:eastAsia="CMR10" w:hAnsi="Arial" w:cs="CMR10"/>
          <w:sz w:val="18"/>
          <w:szCs w:val="18"/>
          <w:lang w:val="en-GB"/>
        </w:rPr>
        <w:t xml:space="preserve">(1953) Ecological Regressions and </w:t>
      </w:r>
      <w:proofErr w:type="spellStart"/>
      <w:r>
        <w:rPr>
          <w:rFonts w:ascii="Arial" w:eastAsia="CMR10" w:hAnsi="Arial" w:cs="CMR10"/>
          <w:sz w:val="18"/>
          <w:szCs w:val="18"/>
          <w:lang w:val="en-GB"/>
        </w:rPr>
        <w:t>Behavior</w:t>
      </w:r>
      <w:proofErr w:type="spellEnd"/>
      <w:r>
        <w:rPr>
          <w:rFonts w:ascii="Arial" w:eastAsia="CMR10" w:hAnsi="Arial" w:cs="CMR10"/>
          <w:sz w:val="18"/>
          <w:szCs w:val="18"/>
          <w:lang w:val="en-GB"/>
        </w:rPr>
        <w:t xml:space="preserve"> of Individuals. American Sociological Review,</w:t>
      </w:r>
      <w:r>
        <w:rPr>
          <w:rFonts w:ascii="Arial" w:eastAsia="CMTI10" w:hAnsi="Arial" w:cs="CMTI10"/>
          <w:sz w:val="18"/>
          <w:szCs w:val="18"/>
          <w:lang w:val="en-GB"/>
        </w:rPr>
        <w:t xml:space="preserve"> </w:t>
      </w:r>
      <w:r>
        <w:rPr>
          <w:rFonts w:ascii="Arial" w:eastAsia="CMBX10" w:hAnsi="Arial" w:cs="CMBX10"/>
          <w:sz w:val="18"/>
          <w:szCs w:val="18"/>
          <w:lang w:val="en-GB"/>
        </w:rPr>
        <w:t>18</w:t>
      </w:r>
      <w:r>
        <w:rPr>
          <w:rFonts w:ascii="Arial" w:eastAsia="CMR10" w:hAnsi="Arial" w:cs="CMR10"/>
          <w:sz w:val="18"/>
          <w:szCs w:val="18"/>
          <w:lang w:val="en-GB"/>
        </w:rPr>
        <w:t>, 663 </w:t>
      </w:r>
      <w:r>
        <w:rPr>
          <w:rFonts w:ascii="Arial" w:eastAsia="CMR10" w:hAnsi="Arial" w:cs="CMR10"/>
          <w:sz w:val="18"/>
          <w:szCs w:val="18"/>
          <w:lang w:val="en-GB"/>
        </w:rPr>
        <w:noBreakHyphen/>
        <w:t> 664.</w:t>
      </w:r>
    </w:p>
    <w:p w14:paraId="061B4E25" w14:textId="77777777" w:rsidR="005F5363" w:rsidRDefault="00BB18B7">
      <w:pPr>
        <w:widowControl/>
        <w:autoSpaceDE w:val="0"/>
        <w:spacing w:after="120" w:line="276" w:lineRule="auto"/>
        <w:ind w:left="284" w:hanging="284"/>
        <w:jc w:val="both"/>
        <w:rPr>
          <w:rFonts w:ascii="Arial" w:eastAsia="CMR10" w:hAnsi="Arial" w:cs="CMR10"/>
          <w:sz w:val="18"/>
          <w:szCs w:val="18"/>
          <w:lang w:val="en-GB"/>
        </w:rPr>
      </w:pPr>
      <w:r>
        <w:rPr>
          <w:rFonts w:ascii="Arial" w:eastAsia="CMBX10" w:hAnsi="Arial" w:cs="CMBX10"/>
          <w:sz w:val="18"/>
          <w:szCs w:val="18"/>
          <w:lang w:val="en-GB"/>
        </w:rPr>
        <w:t xml:space="preserve">Greiner, D.J., Quinn, K.M. </w:t>
      </w:r>
      <w:r>
        <w:rPr>
          <w:rFonts w:ascii="Arial" w:eastAsia="CMR10" w:hAnsi="Arial" w:cs="CMR10"/>
          <w:sz w:val="18"/>
          <w:szCs w:val="18"/>
          <w:lang w:val="en-GB"/>
        </w:rPr>
        <w:t xml:space="preserve">(2010). Exit Polling and Racial Bloc Voting: Combining Individual-Level and R x C Ecological Data. </w:t>
      </w:r>
      <w:r>
        <w:rPr>
          <w:rFonts w:ascii="Arial" w:eastAsia="CMTI10" w:hAnsi="Arial" w:cs="CMTI10"/>
          <w:sz w:val="18"/>
          <w:szCs w:val="18"/>
          <w:lang w:val="en-GB"/>
        </w:rPr>
        <w:t>The Annals of Applied Statistics</w:t>
      </w:r>
      <w:r>
        <w:rPr>
          <w:rFonts w:ascii="Arial" w:eastAsia="CMR10" w:hAnsi="Arial" w:cs="CMR10"/>
          <w:sz w:val="18"/>
          <w:szCs w:val="18"/>
          <w:lang w:val="en-GB"/>
        </w:rPr>
        <w:t xml:space="preserve">, </w:t>
      </w:r>
      <w:r>
        <w:rPr>
          <w:rFonts w:ascii="Arial" w:eastAsia="CMBX10" w:hAnsi="Arial" w:cs="CMBX10"/>
          <w:sz w:val="18"/>
          <w:szCs w:val="18"/>
          <w:lang w:val="en-GB"/>
        </w:rPr>
        <w:t>4</w:t>
      </w:r>
      <w:r>
        <w:rPr>
          <w:rFonts w:ascii="Arial" w:eastAsia="CMR10" w:hAnsi="Arial" w:cs="CMR10"/>
          <w:sz w:val="18"/>
          <w:szCs w:val="18"/>
          <w:lang w:val="en-GB"/>
        </w:rPr>
        <w:t>, 1774 </w:t>
      </w:r>
      <w:r>
        <w:rPr>
          <w:rFonts w:ascii="Arial" w:eastAsia="CMR10" w:hAnsi="Arial" w:cs="CMR10"/>
          <w:sz w:val="18"/>
          <w:szCs w:val="18"/>
          <w:lang w:val="en-GB"/>
        </w:rPr>
        <w:noBreakHyphen/>
        <w:t> 1796.</w:t>
      </w:r>
    </w:p>
    <w:p w14:paraId="60919344" w14:textId="77777777" w:rsidR="005F5363" w:rsidRDefault="00BB18B7">
      <w:pPr>
        <w:widowControl/>
        <w:autoSpaceDE w:val="0"/>
        <w:spacing w:after="120" w:line="276" w:lineRule="auto"/>
        <w:ind w:left="284" w:hanging="284"/>
        <w:jc w:val="both"/>
        <w:rPr>
          <w:rFonts w:ascii="Arial" w:eastAsia="CMR10" w:hAnsi="Arial" w:cs="CMR10"/>
          <w:sz w:val="18"/>
          <w:szCs w:val="18"/>
        </w:rPr>
      </w:pPr>
      <w:proofErr w:type="spellStart"/>
      <w:r>
        <w:rPr>
          <w:rFonts w:ascii="Arial" w:eastAsia="CMBX10" w:hAnsi="Arial" w:cs="CMBX10"/>
          <w:sz w:val="18"/>
          <w:szCs w:val="18"/>
          <w:lang w:val="en-GB"/>
        </w:rPr>
        <w:t>Grofman</w:t>
      </w:r>
      <w:proofErr w:type="spellEnd"/>
      <w:r>
        <w:rPr>
          <w:rFonts w:ascii="Arial" w:eastAsia="CMBX10" w:hAnsi="Arial" w:cs="CMBX10"/>
          <w:sz w:val="18"/>
          <w:szCs w:val="18"/>
          <w:lang w:val="en-GB"/>
        </w:rPr>
        <w:t xml:space="preserve">, B., Merrill, S. </w:t>
      </w:r>
      <w:r>
        <w:rPr>
          <w:rFonts w:ascii="Arial" w:eastAsia="CMR10" w:hAnsi="Arial" w:cs="CMR10"/>
          <w:sz w:val="18"/>
          <w:szCs w:val="18"/>
          <w:lang w:val="en-GB"/>
        </w:rPr>
        <w:t xml:space="preserve">(2004). Ecological Regression and Ecological Inference. In: </w:t>
      </w:r>
      <w:r>
        <w:rPr>
          <w:rFonts w:ascii="Arial" w:eastAsia="CMTI10" w:hAnsi="Arial" w:cs="CMTI10"/>
          <w:sz w:val="18"/>
          <w:szCs w:val="18"/>
          <w:lang w:val="en-GB"/>
        </w:rPr>
        <w:t>Ecological Inference: New Methodological Strategies</w:t>
      </w:r>
      <w:r>
        <w:rPr>
          <w:rFonts w:ascii="Arial" w:eastAsia="CMR10" w:hAnsi="Arial" w:cs="CMR10"/>
          <w:sz w:val="18"/>
          <w:szCs w:val="18"/>
          <w:lang w:val="en-GB"/>
        </w:rPr>
        <w:t xml:space="preserve">. eds. King, G., Tanner, M.A., Rosen, </w:t>
      </w:r>
      <w:proofErr w:type="gramStart"/>
      <w:r>
        <w:rPr>
          <w:rFonts w:ascii="Arial" w:eastAsia="CMR10" w:hAnsi="Arial" w:cs="CMR10"/>
          <w:sz w:val="18"/>
          <w:szCs w:val="18"/>
          <w:lang w:val="en-GB"/>
        </w:rPr>
        <w:t>O..</w:t>
      </w:r>
      <w:proofErr w:type="gramEnd"/>
      <w:r>
        <w:rPr>
          <w:rFonts w:ascii="Arial" w:eastAsia="CMR10" w:hAnsi="Arial" w:cs="CMR10"/>
          <w:sz w:val="18"/>
          <w:szCs w:val="18"/>
          <w:lang w:val="en-GB"/>
        </w:rPr>
        <w:t xml:space="preserve"> </w:t>
      </w:r>
      <w:r>
        <w:rPr>
          <w:rFonts w:ascii="Arial" w:eastAsia="CMR10" w:hAnsi="Arial" w:cs="CMR10"/>
          <w:sz w:val="18"/>
          <w:szCs w:val="18"/>
        </w:rPr>
        <w:t>Cambridge: Cambridge University Press.</w:t>
      </w:r>
    </w:p>
    <w:p w14:paraId="4BCB8FE3" w14:textId="77777777" w:rsidR="005F5363" w:rsidRDefault="00BB18B7">
      <w:pPr>
        <w:widowControl/>
        <w:autoSpaceDE w:val="0"/>
        <w:spacing w:after="120" w:line="276" w:lineRule="auto"/>
        <w:ind w:left="284" w:hanging="284"/>
        <w:jc w:val="both"/>
        <w:rPr>
          <w:rFonts w:ascii="Arial" w:eastAsia="CMR10" w:hAnsi="Arial" w:cs="CMR10"/>
          <w:sz w:val="18"/>
          <w:szCs w:val="18"/>
          <w:lang w:val="en-GB"/>
        </w:rPr>
      </w:pPr>
      <w:r>
        <w:rPr>
          <w:rFonts w:ascii="Arial" w:eastAsia="CMBX10" w:hAnsi="Arial" w:cs="CMBX10"/>
          <w:sz w:val="18"/>
          <w:szCs w:val="18"/>
        </w:rPr>
        <w:t xml:space="preserve">Kellermann, T. </w:t>
      </w:r>
      <w:r>
        <w:rPr>
          <w:rFonts w:ascii="Arial" w:eastAsia="CMR10" w:hAnsi="Arial" w:cs="CMR10"/>
          <w:sz w:val="18"/>
          <w:szCs w:val="18"/>
        </w:rPr>
        <w:t xml:space="preserve">(2011). Vom Wahlergebnis zur Wählerwanderung. </w:t>
      </w:r>
      <w:r>
        <w:rPr>
          <w:rFonts w:ascii="Arial" w:eastAsia="CMTI10" w:hAnsi="Arial" w:cs="CMTI10"/>
          <w:sz w:val="18"/>
          <w:szCs w:val="18"/>
        </w:rPr>
        <w:t>Stadtforschung und Statistik</w:t>
      </w:r>
      <w:r>
        <w:rPr>
          <w:rFonts w:ascii="Arial" w:eastAsia="CMR10" w:hAnsi="Arial" w:cs="CMR10"/>
          <w:sz w:val="18"/>
          <w:szCs w:val="18"/>
        </w:rPr>
        <w:t xml:space="preserve">, </w:t>
      </w:r>
      <w:r>
        <w:rPr>
          <w:rFonts w:ascii="Arial" w:eastAsia="CMBX10" w:hAnsi="Arial" w:cs="CMBX10"/>
          <w:sz w:val="18"/>
          <w:szCs w:val="18"/>
        </w:rPr>
        <w:t>1</w:t>
      </w:r>
      <w:r>
        <w:rPr>
          <w:rFonts w:ascii="Arial" w:eastAsia="CMR10" w:hAnsi="Arial" w:cs="CMR10"/>
          <w:sz w:val="18"/>
          <w:szCs w:val="18"/>
        </w:rPr>
        <w:t>, 34 </w:t>
      </w:r>
      <w:r>
        <w:rPr>
          <w:rFonts w:ascii="Arial" w:eastAsia="CMR10" w:hAnsi="Arial" w:cs="CMR10"/>
          <w:sz w:val="18"/>
          <w:szCs w:val="18"/>
        </w:rPr>
        <w:noBreakHyphen/>
        <w:t xml:space="preserve"> 40. </w:t>
      </w:r>
      <w:r>
        <w:rPr>
          <w:rFonts w:ascii="Arial" w:eastAsia="CMBX10" w:hAnsi="Arial" w:cs="CMBX10"/>
          <w:sz w:val="18"/>
          <w:szCs w:val="18"/>
        </w:rPr>
        <w:t xml:space="preserve">Lau, O., Moore, R.T., Kellermann, M. </w:t>
      </w:r>
      <w:r>
        <w:rPr>
          <w:rFonts w:ascii="Arial" w:eastAsia="CMR10" w:hAnsi="Arial" w:cs="CMR10"/>
          <w:sz w:val="18"/>
          <w:szCs w:val="18"/>
        </w:rPr>
        <w:t xml:space="preserve">(2007). </w:t>
      </w:r>
      <w:proofErr w:type="spellStart"/>
      <w:r>
        <w:rPr>
          <w:rFonts w:ascii="Arial" w:eastAsia="CMR10" w:hAnsi="Arial" w:cs="CMR10"/>
          <w:sz w:val="18"/>
          <w:szCs w:val="18"/>
        </w:rPr>
        <w:t>eiPack</w:t>
      </w:r>
      <w:proofErr w:type="spellEnd"/>
      <w:r>
        <w:rPr>
          <w:rFonts w:ascii="Arial" w:eastAsia="CMR10" w:hAnsi="Arial" w:cs="CMR10"/>
          <w:sz w:val="18"/>
          <w:szCs w:val="18"/>
        </w:rPr>
        <w:t xml:space="preserve">: R x C </w:t>
      </w:r>
      <w:proofErr w:type="spellStart"/>
      <w:r>
        <w:rPr>
          <w:rFonts w:ascii="Arial" w:eastAsia="CMR10" w:hAnsi="Arial" w:cs="CMR10"/>
          <w:sz w:val="18"/>
          <w:szCs w:val="18"/>
        </w:rPr>
        <w:t>Ecological</w:t>
      </w:r>
      <w:proofErr w:type="spellEnd"/>
      <w:r>
        <w:rPr>
          <w:rFonts w:ascii="Arial" w:eastAsia="CMR10" w:hAnsi="Arial" w:cs="CMR10"/>
          <w:sz w:val="18"/>
          <w:szCs w:val="18"/>
        </w:rPr>
        <w:t xml:space="preserve"> </w:t>
      </w:r>
      <w:proofErr w:type="spellStart"/>
      <w:r>
        <w:rPr>
          <w:rFonts w:ascii="Arial" w:eastAsia="CMR10" w:hAnsi="Arial" w:cs="CMR10"/>
          <w:sz w:val="18"/>
          <w:szCs w:val="18"/>
        </w:rPr>
        <w:t>Inference</w:t>
      </w:r>
      <w:proofErr w:type="spellEnd"/>
      <w:r>
        <w:rPr>
          <w:rFonts w:ascii="Arial" w:eastAsia="CMR10" w:hAnsi="Arial" w:cs="CMR10"/>
          <w:sz w:val="18"/>
          <w:szCs w:val="18"/>
        </w:rPr>
        <w:t xml:space="preserve"> and Higher-Dimension Data Management. </w:t>
      </w:r>
      <w:r>
        <w:rPr>
          <w:rFonts w:ascii="Arial" w:eastAsia="CMTI10" w:hAnsi="Arial" w:cs="CMTI10"/>
          <w:sz w:val="18"/>
          <w:szCs w:val="18"/>
          <w:lang w:val="en-GB"/>
        </w:rPr>
        <w:t>R News</w:t>
      </w:r>
      <w:r>
        <w:rPr>
          <w:rFonts w:ascii="Arial" w:eastAsia="CMR10" w:hAnsi="Arial" w:cs="CMR10"/>
          <w:sz w:val="18"/>
          <w:szCs w:val="18"/>
          <w:lang w:val="en-GB"/>
        </w:rPr>
        <w:t xml:space="preserve">, </w:t>
      </w:r>
      <w:r>
        <w:rPr>
          <w:rFonts w:ascii="Arial" w:eastAsia="CMBX10" w:hAnsi="Arial" w:cs="CMBX10"/>
          <w:sz w:val="18"/>
          <w:szCs w:val="18"/>
          <w:lang w:val="en-GB"/>
        </w:rPr>
        <w:t>7</w:t>
      </w:r>
      <w:r>
        <w:rPr>
          <w:rFonts w:ascii="Arial" w:eastAsia="CMR10" w:hAnsi="Arial" w:cs="CMR10"/>
          <w:sz w:val="18"/>
          <w:szCs w:val="18"/>
          <w:lang w:val="en-GB"/>
        </w:rPr>
        <w:t>, 43 </w:t>
      </w:r>
      <w:r>
        <w:rPr>
          <w:rFonts w:ascii="Arial" w:eastAsia="CMR10" w:hAnsi="Arial" w:cs="CMR10"/>
          <w:sz w:val="18"/>
          <w:szCs w:val="18"/>
          <w:lang w:val="en-GB"/>
        </w:rPr>
        <w:noBreakHyphen/>
        <w:t> 47.</w:t>
      </w:r>
    </w:p>
    <w:p w14:paraId="5B5BDECA" w14:textId="77777777" w:rsidR="005F5363" w:rsidRDefault="00BB18B7">
      <w:pPr>
        <w:widowControl/>
        <w:autoSpaceDE w:val="0"/>
        <w:spacing w:after="120" w:line="276" w:lineRule="auto"/>
        <w:ind w:left="284" w:hanging="284"/>
        <w:jc w:val="both"/>
        <w:rPr>
          <w:rFonts w:ascii="Arial" w:eastAsia="CMR10" w:hAnsi="Arial" w:cs="CMR10"/>
          <w:sz w:val="18"/>
          <w:szCs w:val="18"/>
          <w:lang w:val="en-GB"/>
        </w:rPr>
      </w:pPr>
      <w:r>
        <w:rPr>
          <w:rFonts w:ascii="Arial" w:eastAsia="CMBX10" w:hAnsi="Arial" w:cs="CMBX10"/>
          <w:sz w:val="18"/>
          <w:szCs w:val="18"/>
          <w:lang w:val="en-GB"/>
        </w:rPr>
        <w:t xml:space="preserve">Rosen, O., Jiang, W., King, G., Tanner, M.A. </w:t>
      </w:r>
      <w:r>
        <w:rPr>
          <w:rFonts w:ascii="Arial" w:eastAsia="CMR10" w:hAnsi="Arial" w:cs="CMR10"/>
          <w:sz w:val="18"/>
          <w:szCs w:val="18"/>
          <w:lang w:val="en-GB"/>
        </w:rPr>
        <w:t xml:space="preserve">(2001). Bayesian and Frequentist Inference for Ecological Inference: The R x C Case. </w:t>
      </w:r>
      <w:proofErr w:type="spellStart"/>
      <w:r>
        <w:rPr>
          <w:rFonts w:ascii="Arial" w:eastAsia="CMTI10" w:hAnsi="Arial" w:cs="CMTI10"/>
          <w:sz w:val="18"/>
          <w:szCs w:val="18"/>
          <w:lang w:val="en-GB"/>
        </w:rPr>
        <w:t>Statistica</w:t>
      </w:r>
      <w:proofErr w:type="spellEnd"/>
      <w:r>
        <w:rPr>
          <w:rFonts w:ascii="Arial" w:eastAsia="CMTI10" w:hAnsi="Arial" w:cs="CMTI10"/>
          <w:sz w:val="18"/>
          <w:szCs w:val="18"/>
          <w:lang w:val="en-GB"/>
        </w:rPr>
        <w:t xml:space="preserve"> </w:t>
      </w:r>
      <w:proofErr w:type="spellStart"/>
      <w:r>
        <w:rPr>
          <w:rFonts w:ascii="Arial" w:eastAsia="CMTI10" w:hAnsi="Arial" w:cs="CMTI10"/>
          <w:sz w:val="18"/>
          <w:szCs w:val="18"/>
          <w:lang w:val="en-GB"/>
        </w:rPr>
        <w:t>Neerlandica</w:t>
      </w:r>
      <w:proofErr w:type="spellEnd"/>
      <w:r>
        <w:rPr>
          <w:rFonts w:ascii="Arial" w:eastAsia="CMR10" w:hAnsi="Arial" w:cs="CMR10"/>
          <w:sz w:val="18"/>
          <w:szCs w:val="18"/>
          <w:lang w:val="en-GB"/>
        </w:rPr>
        <w:t xml:space="preserve">, </w:t>
      </w:r>
      <w:r>
        <w:rPr>
          <w:rFonts w:ascii="Arial" w:eastAsia="CMBX10" w:hAnsi="Arial" w:cs="CMBX10"/>
          <w:sz w:val="18"/>
          <w:szCs w:val="18"/>
          <w:lang w:val="en-GB"/>
        </w:rPr>
        <w:t>55</w:t>
      </w:r>
      <w:r>
        <w:rPr>
          <w:rFonts w:ascii="Arial" w:eastAsia="CMR10" w:hAnsi="Arial" w:cs="CMR10"/>
          <w:sz w:val="18"/>
          <w:szCs w:val="18"/>
          <w:lang w:val="en-GB"/>
        </w:rPr>
        <w:t>, 134 </w:t>
      </w:r>
      <w:r>
        <w:rPr>
          <w:rFonts w:ascii="Arial" w:eastAsia="CMR10" w:hAnsi="Arial" w:cs="CMR10"/>
          <w:sz w:val="18"/>
          <w:szCs w:val="18"/>
          <w:lang w:val="en-GB"/>
        </w:rPr>
        <w:noBreakHyphen/>
        <w:t> 156.</w:t>
      </w:r>
    </w:p>
    <w:p w14:paraId="6E7ED7BA" w14:textId="77777777" w:rsidR="00F90970" w:rsidRPr="00EE0815" w:rsidRDefault="00BB18B7" w:rsidP="00EE0815">
      <w:pPr>
        <w:widowControl/>
        <w:autoSpaceDE w:val="0"/>
        <w:spacing w:after="120" w:line="276" w:lineRule="auto"/>
        <w:ind w:left="284" w:hanging="284"/>
        <w:jc w:val="both"/>
        <w:rPr>
          <w:rFonts w:ascii="Arial" w:eastAsia="CMR10" w:hAnsi="Arial" w:cs="CMR10"/>
          <w:sz w:val="18"/>
          <w:szCs w:val="18"/>
        </w:rPr>
      </w:pPr>
      <w:r>
        <w:rPr>
          <w:rFonts w:ascii="Arial" w:eastAsia="CMBX10" w:hAnsi="Arial" w:cs="CMBX10"/>
          <w:sz w:val="18"/>
          <w:szCs w:val="18"/>
          <w:lang w:val="en-GB"/>
        </w:rPr>
        <w:t xml:space="preserve">Thomsen, S.R. </w:t>
      </w:r>
      <w:r>
        <w:rPr>
          <w:rFonts w:ascii="Arial" w:eastAsia="CMR10" w:hAnsi="Arial" w:cs="CMR10"/>
          <w:sz w:val="18"/>
          <w:szCs w:val="18"/>
          <w:lang w:val="en-GB"/>
        </w:rPr>
        <w:t xml:space="preserve">(1987). </w:t>
      </w:r>
      <w:r>
        <w:rPr>
          <w:rFonts w:ascii="Arial" w:eastAsia="CMTI10" w:hAnsi="Arial" w:cs="CMTI10"/>
          <w:sz w:val="18"/>
          <w:szCs w:val="18"/>
          <w:lang w:val="en-GB"/>
        </w:rPr>
        <w:t>Danish Elections 1920-79: A Logit Approach to Ecological Analysis and Inference</w:t>
      </w:r>
      <w:r>
        <w:rPr>
          <w:rFonts w:ascii="Arial" w:eastAsia="CMR10" w:hAnsi="Arial" w:cs="CMR10"/>
          <w:sz w:val="18"/>
          <w:szCs w:val="18"/>
          <w:lang w:val="en-GB"/>
        </w:rPr>
        <w:t xml:space="preserve">. </w:t>
      </w:r>
      <w:r>
        <w:rPr>
          <w:rFonts w:ascii="Arial" w:eastAsia="CMR10" w:hAnsi="Arial" w:cs="CMR10"/>
          <w:sz w:val="18"/>
          <w:szCs w:val="18"/>
        </w:rPr>
        <w:t xml:space="preserve">Aarhus: </w:t>
      </w:r>
      <w:proofErr w:type="spellStart"/>
      <w:r>
        <w:rPr>
          <w:rFonts w:ascii="Arial" w:eastAsia="CMR10" w:hAnsi="Arial" w:cs="CMR10"/>
          <w:sz w:val="18"/>
          <w:szCs w:val="18"/>
        </w:rPr>
        <w:t>Politica</w:t>
      </w:r>
      <w:proofErr w:type="spellEnd"/>
      <w:r>
        <w:rPr>
          <w:rFonts w:ascii="Arial" w:eastAsia="CMR10" w:hAnsi="Arial" w:cs="CMR10"/>
          <w:sz w:val="18"/>
          <w:szCs w:val="18"/>
        </w:rPr>
        <w:t>.</w:t>
      </w:r>
    </w:p>
    <w:sectPr w:rsidR="00F90970" w:rsidRPr="00EE0815" w:rsidSect="00767925">
      <w:footerReference w:type="first" r:id="rId6"/>
      <w:pgSz w:w="11906" w:h="16838" w:code="9"/>
      <w:pgMar w:top="1247" w:right="1134" w:bottom="851" w:left="1134" w:header="567" w:footer="567" w:gutter="0"/>
      <w:pgNumType w:start="1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4344F2" w14:textId="77777777" w:rsidR="005F5363" w:rsidRDefault="00BB18B7">
      <w:r>
        <w:separator/>
      </w:r>
    </w:p>
  </w:endnote>
  <w:endnote w:type="continuationSeparator" w:id="0">
    <w:p w14:paraId="697F76E2" w14:textId="77777777" w:rsidR="005F5363" w:rsidRDefault="00BB1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jaVu Sans">
    <w:panose1 w:val="020B0603030804020204"/>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 w:name="CMBX12">
    <w:altName w:val="Times New Roman"/>
    <w:charset w:val="00"/>
    <w:family w:val="auto"/>
    <w:pitch w:val="default"/>
  </w:font>
  <w:font w:name="CMR10">
    <w:altName w:val="Times New Roman"/>
    <w:charset w:val="00"/>
    <w:family w:val="auto"/>
    <w:pitch w:val="default"/>
  </w:font>
  <w:font w:name="CMTI10">
    <w:altName w:val="Times New Roman"/>
    <w:charset w:val="00"/>
    <w:family w:val="auto"/>
    <w:pitch w:val="default"/>
  </w:font>
  <w:font w:name="CMBX10">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15AD6" w14:textId="77777777" w:rsidR="004D18BF" w:rsidRPr="004D18BF" w:rsidRDefault="00ED4574" w:rsidP="00ED4574">
    <w:pPr>
      <w:pStyle w:val="Fuzeile"/>
      <w:tabs>
        <w:tab w:val="clear" w:pos="9072"/>
        <w:tab w:val="right" w:pos="9639"/>
      </w:tabs>
      <w:rPr>
        <w:rFonts w:ascii="Arial" w:hAnsi="Arial" w:cs="Arial"/>
        <w:sz w:val="22"/>
        <w:szCs w:val="22"/>
      </w:rPr>
    </w:pPr>
    <w:r w:rsidRPr="00DE255C">
      <w:rPr>
        <w:rFonts w:ascii="Arial" w:hAnsi="Arial" w:cs="Arial"/>
        <w:color w:val="898989"/>
        <w:kern w:val="14"/>
        <w:sz w:val="14"/>
        <w:szCs w:val="14"/>
      </w:rPr>
      <w:t>Statistisches Amt der Landeshauptstadt München</w:t>
    </w:r>
    <w:r>
      <w:rPr>
        <w:rFonts w:ascii="Arial" w:hAnsi="Arial" w:cs="Arial"/>
        <w:sz w:val="22"/>
        <w:szCs w:val="22"/>
      </w:rPr>
      <w:tab/>
    </w:r>
    <w:r>
      <w:rPr>
        <w:rFonts w:ascii="Arial" w:hAnsi="Arial" w:cs="Arial"/>
        <w:sz w:val="22"/>
        <w:szCs w:val="22"/>
      </w:rPr>
      <w:tab/>
    </w:r>
    <w:r w:rsidR="004D18BF" w:rsidRPr="004D18BF">
      <w:rPr>
        <w:rFonts w:ascii="Arial" w:hAnsi="Arial" w:cs="Arial"/>
        <w:sz w:val="22"/>
        <w:szCs w:val="22"/>
      </w:rPr>
      <w:t xml:space="preserve">Teil D - Seite </w:t>
    </w:r>
    <w:r w:rsidR="00B42DF7">
      <w:rPr>
        <w:rFonts w:ascii="Arial" w:hAnsi="Arial" w:cs="Arial"/>
        <w:sz w:val="22"/>
        <w:szCs w:val="22"/>
      </w:rPr>
      <w:t>1</w:t>
    </w:r>
    <w:r w:rsidR="00DB071A">
      <w:rPr>
        <w:rFonts w:ascii="Arial" w:hAnsi="Arial" w:cs="Arial"/>
        <w:sz w:val="22"/>
        <w:szCs w:val="22"/>
      </w:rPr>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6ED70" w14:textId="77777777" w:rsidR="005F5363" w:rsidRDefault="00BB18B7">
      <w:r>
        <w:separator/>
      </w:r>
    </w:p>
  </w:footnote>
  <w:footnote w:type="continuationSeparator" w:id="0">
    <w:p w14:paraId="715ADFAA" w14:textId="77777777" w:rsidR="005F5363" w:rsidRDefault="00BB18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rd"/>
  <w:drawingGridHorizontalSpacing w:val="120"/>
  <w:drawingGridVerticalSpacing w:val="0"/>
  <w:displayHorizontalDrawingGridEvery w:val="0"/>
  <w:displayVerticalDrawingGridEvery w:val="0"/>
  <w:characterSpacingControl w:val="doNotCompress"/>
  <w:hdrShapeDefaults>
    <o:shapedefaults v:ext="edit" spidmax="2050">
      <o:colormenu v:ext="edit" fillcolor="none [4]" strokecolor="none [1]" shadowcolor="none [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8B7"/>
    <w:rsid w:val="00047DBB"/>
    <w:rsid w:val="000E1AAC"/>
    <w:rsid w:val="00134969"/>
    <w:rsid w:val="001403A3"/>
    <w:rsid w:val="00160DA0"/>
    <w:rsid w:val="00226382"/>
    <w:rsid w:val="002D19D8"/>
    <w:rsid w:val="00371F42"/>
    <w:rsid w:val="004017AA"/>
    <w:rsid w:val="00455F23"/>
    <w:rsid w:val="004D18BF"/>
    <w:rsid w:val="005035B4"/>
    <w:rsid w:val="00547103"/>
    <w:rsid w:val="005B6744"/>
    <w:rsid w:val="005F5363"/>
    <w:rsid w:val="00664981"/>
    <w:rsid w:val="006F478E"/>
    <w:rsid w:val="00767925"/>
    <w:rsid w:val="0080653C"/>
    <w:rsid w:val="009C4DE9"/>
    <w:rsid w:val="00A34D59"/>
    <w:rsid w:val="00A46ECF"/>
    <w:rsid w:val="00AB5526"/>
    <w:rsid w:val="00B42DF7"/>
    <w:rsid w:val="00BB18B7"/>
    <w:rsid w:val="00BB1D71"/>
    <w:rsid w:val="00C34EF1"/>
    <w:rsid w:val="00C5362E"/>
    <w:rsid w:val="00CC7C06"/>
    <w:rsid w:val="00CE2875"/>
    <w:rsid w:val="00CE5C1D"/>
    <w:rsid w:val="00DB071A"/>
    <w:rsid w:val="00DD16B5"/>
    <w:rsid w:val="00DE255C"/>
    <w:rsid w:val="00DE2631"/>
    <w:rsid w:val="00EC5CD5"/>
    <w:rsid w:val="00ED4574"/>
    <w:rsid w:val="00EE0815"/>
    <w:rsid w:val="00EE1DE6"/>
    <w:rsid w:val="00EF7B79"/>
    <w:rsid w:val="00F212A7"/>
    <w:rsid w:val="00F62EDE"/>
    <w:rsid w:val="00F90970"/>
    <w:rsid w:val="00F975F5"/>
    <w:rsid w:val="00FB492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4]" strokecolor="none [1]" shadowcolor="none [2]"/>
    </o:shapedefaults>
    <o:shapelayout v:ext="edit">
      <o:idmap v:ext="edit" data="2"/>
    </o:shapelayout>
  </w:shapeDefaults>
  <w:doNotEmbedSmartTags/>
  <w:decimalSymbol w:val=","/>
  <w:listSeparator w:val=";"/>
  <w14:docId w14:val="5DE58654"/>
  <w15:docId w15:val="{55118733-49B6-4372-B1C9-D09E6852A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F5363"/>
    <w:pPr>
      <w:widowControl w:val="0"/>
      <w:suppressAutoHyphens/>
    </w:pPr>
    <w:rPr>
      <w:rFonts w:eastAsia="Arial Unicode MS"/>
      <w:kern w:val="1"/>
      <w:sz w:val="24"/>
      <w:szCs w:val="24"/>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5F5363"/>
  </w:style>
  <w:style w:type="character" w:styleId="Seitenzahl">
    <w:name w:val="page number"/>
    <w:basedOn w:val="Absatz-Standardschriftart1"/>
    <w:rsid w:val="005F5363"/>
  </w:style>
  <w:style w:type="paragraph" w:customStyle="1" w:styleId="berschrift">
    <w:name w:val="Überschrift"/>
    <w:basedOn w:val="Standard"/>
    <w:next w:val="Textkrper"/>
    <w:rsid w:val="005F5363"/>
    <w:pPr>
      <w:keepNext/>
      <w:spacing w:before="240" w:after="120"/>
    </w:pPr>
    <w:rPr>
      <w:rFonts w:ascii="Arial" w:eastAsia="DejaVu Sans" w:hAnsi="Arial" w:cs="DejaVu Sans"/>
      <w:sz w:val="28"/>
      <w:szCs w:val="28"/>
    </w:rPr>
  </w:style>
  <w:style w:type="paragraph" w:styleId="Textkrper">
    <w:name w:val="Body Text"/>
    <w:basedOn w:val="Standard"/>
    <w:rsid w:val="005F5363"/>
    <w:pPr>
      <w:spacing w:after="120"/>
    </w:pPr>
  </w:style>
  <w:style w:type="paragraph" w:styleId="Liste">
    <w:name w:val="List"/>
    <w:basedOn w:val="Textkrper"/>
    <w:rsid w:val="005F5363"/>
    <w:rPr>
      <w:rFonts w:ascii="Arial" w:hAnsi="Arial"/>
    </w:rPr>
  </w:style>
  <w:style w:type="paragraph" w:customStyle="1" w:styleId="Beschriftung1">
    <w:name w:val="Beschriftung1"/>
    <w:basedOn w:val="Standard"/>
    <w:rsid w:val="005F5363"/>
    <w:pPr>
      <w:suppressLineNumbers/>
      <w:spacing w:before="120" w:after="120"/>
    </w:pPr>
    <w:rPr>
      <w:rFonts w:ascii="Arial" w:hAnsi="Arial"/>
      <w:i/>
      <w:iCs/>
      <w:sz w:val="22"/>
    </w:rPr>
  </w:style>
  <w:style w:type="paragraph" w:customStyle="1" w:styleId="Verzeichnis">
    <w:name w:val="Verzeichnis"/>
    <w:basedOn w:val="Standard"/>
    <w:rsid w:val="005F5363"/>
    <w:pPr>
      <w:suppressLineNumbers/>
    </w:pPr>
    <w:rPr>
      <w:rFonts w:ascii="Arial" w:hAnsi="Arial"/>
    </w:rPr>
  </w:style>
  <w:style w:type="paragraph" w:styleId="Fuzeile">
    <w:name w:val="footer"/>
    <w:basedOn w:val="Standard"/>
    <w:link w:val="FuzeileZchn"/>
    <w:uiPriority w:val="99"/>
    <w:rsid w:val="005F5363"/>
    <w:pPr>
      <w:tabs>
        <w:tab w:val="center" w:pos="4536"/>
        <w:tab w:val="right" w:pos="9072"/>
      </w:tabs>
    </w:pPr>
  </w:style>
  <w:style w:type="paragraph" w:customStyle="1" w:styleId="Rahmeninhalt">
    <w:name w:val="Rahmeninhalt"/>
    <w:basedOn w:val="Textkrper"/>
    <w:rsid w:val="005F5363"/>
  </w:style>
  <w:style w:type="paragraph" w:styleId="Kopfzeile">
    <w:name w:val="header"/>
    <w:basedOn w:val="Standard"/>
    <w:rsid w:val="005F5363"/>
    <w:pPr>
      <w:suppressLineNumbers/>
      <w:tabs>
        <w:tab w:val="center" w:pos="4819"/>
        <w:tab w:val="right" w:pos="9638"/>
      </w:tabs>
    </w:pPr>
  </w:style>
  <w:style w:type="paragraph" w:styleId="Sprechblasentext">
    <w:name w:val="Balloon Text"/>
    <w:basedOn w:val="Standard"/>
    <w:link w:val="SprechblasentextZchn"/>
    <w:uiPriority w:val="99"/>
    <w:semiHidden/>
    <w:unhideWhenUsed/>
    <w:rsid w:val="00371F42"/>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71F42"/>
    <w:rPr>
      <w:rFonts w:ascii="Segoe UI" w:eastAsia="Arial Unicode MS" w:hAnsi="Segoe UI" w:cs="Segoe UI"/>
      <w:kern w:val="1"/>
      <w:sz w:val="18"/>
      <w:szCs w:val="18"/>
      <w:lang w:eastAsia="ar-SA"/>
    </w:rPr>
  </w:style>
  <w:style w:type="character" w:customStyle="1" w:styleId="FuzeileZchn">
    <w:name w:val="Fußzeile Zchn"/>
    <w:link w:val="Fuzeile"/>
    <w:uiPriority w:val="99"/>
    <w:rsid w:val="000E1AAC"/>
    <w:rPr>
      <w:rFonts w:eastAsia="Arial Unicode MS"/>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1166</Words>
  <Characters>7351</Characters>
  <Application>Microsoft Office Word</Application>
  <DocSecurity>0</DocSecurity>
  <Lines>61</Lines>
  <Paragraphs>16</Paragraphs>
  <ScaleCrop>false</ScaleCrop>
  <HeadingPairs>
    <vt:vector size="2" baseType="variant">
      <vt:variant>
        <vt:lpstr>Titel</vt:lpstr>
      </vt:variant>
      <vt:variant>
        <vt:i4>1</vt:i4>
      </vt:variant>
    </vt:vector>
  </HeadingPairs>
  <TitlesOfParts>
    <vt:vector size="1" baseType="lpstr">
      <vt:lpstr>Statistische Methodik zur Wählerwanderungsanalyse der Stadt München</vt:lpstr>
    </vt:vector>
  </TitlesOfParts>
  <Company>LHM</Company>
  <LinksUpToDate>false</LinksUpToDate>
  <CharactersWithSpaces>8501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Statistische Methodik zur Wählerwanderungsanalyse der Stadt München</dc:title>
  <dc:creator>klimaa</dc:creator>
  <cp:lastModifiedBy>Ingrid Kreuzmair</cp:lastModifiedBy>
  <cp:revision>2</cp:revision>
  <cp:lastPrinted>2017-07-13T14:33:00Z</cp:lastPrinted>
  <dcterms:created xsi:type="dcterms:W3CDTF">2024-06-09T23:25:00Z</dcterms:created>
  <dcterms:modified xsi:type="dcterms:W3CDTF">2024-06-09T23:25:00Z</dcterms:modified>
</cp:coreProperties>
</file>